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6000000" w14:textId="77777777" w:rsidR="001B736D" w:rsidRDefault="001B736D">
      <w:pPr>
        <w:spacing w:after="0" w:line="240" w:lineRule="auto"/>
        <w:ind w:firstLine="540"/>
        <w:jc w:val="center"/>
        <w:rPr>
          <w:rFonts w:ascii="Times New Roman" w:hAnsi="Times New Roman"/>
          <w:b/>
          <w:sz w:val="26"/>
        </w:rPr>
      </w:pPr>
    </w:p>
    <w:p w14:paraId="07000000" w14:textId="75C0C1B1" w:rsidR="001B736D" w:rsidRDefault="008B7EB9">
      <w:pPr>
        <w:spacing w:after="0" w:line="240" w:lineRule="auto"/>
        <w:ind w:firstLine="540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Нецелевое использование земельного участка</w:t>
      </w:r>
    </w:p>
    <w:p w14:paraId="08000000" w14:textId="77777777" w:rsidR="001B736D" w:rsidRDefault="001B736D">
      <w:pPr>
        <w:spacing w:after="0" w:line="240" w:lineRule="auto"/>
        <w:ind w:firstLine="540"/>
        <w:jc w:val="both"/>
        <w:rPr>
          <w:rFonts w:ascii="Times New Roman" w:hAnsi="Times New Roman"/>
          <w:b/>
          <w:sz w:val="24"/>
        </w:rPr>
      </w:pPr>
    </w:p>
    <w:p w14:paraId="09000000" w14:textId="77777777" w:rsidR="001B736D" w:rsidRDefault="008B7EB9">
      <w:pPr>
        <w:spacing w:after="0" w:line="240" w:lineRule="auto"/>
        <w:ind w:firstLine="54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Все земли в Российской Федерации разделены по категориям, выдаются они в собственность или владение только для использования их по целевому назначению. Нецелевое использование земельного участка влечет за собой не только административную от</w:t>
      </w:r>
      <w:r>
        <w:rPr>
          <w:rFonts w:ascii="Times New Roman" w:hAnsi="Times New Roman"/>
          <w:sz w:val="24"/>
        </w:rPr>
        <w:t xml:space="preserve">ветственность, но и увеличение налоговой ставки по земельному налогу. </w:t>
      </w:r>
    </w:p>
    <w:p w14:paraId="0A000000" w14:textId="77777777" w:rsidR="001B736D" w:rsidRDefault="008B7EB9">
      <w:pPr>
        <w:spacing w:after="0" w:line="240" w:lineRule="auto"/>
        <w:ind w:firstLine="540"/>
        <w:jc w:val="both"/>
        <w:rPr>
          <w:rFonts w:ascii="Times New Roman" w:hAnsi="Times New Roman"/>
          <w:sz w:val="24"/>
        </w:rPr>
      </w:pPr>
      <w:proofErr w:type="gramStart"/>
      <w:r>
        <w:rPr>
          <w:rFonts w:ascii="Times New Roman" w:hAnsi="Times New Roman"/>
          <w:sz w:val="24"/>
        </w:rPr>
        <w:t>Налоговые ставки по земельному налогу устанавливаются нормативными правовыми актами представительных органов муниципальных образований, ограничены размером, установленным налоговым зако</w:t>
      </w:r>
      <w:r>
        <w:rPr>
          <w:rFonts w:ascii="Times New Roman" w:hAnsi="Times New Roman"/>
          <w:sz w:val="24"/>
        </w:rPr>
        <w:t>нодательством и не могут превышать 0,3% в отношении земельных участков, отнесенных к землям сельскохозяйственного назначения или к землям в составе зон сельскохозяйственного использования в населенных пунктах и используемых для сельскохозяйственного произв</w:t>
      </w:r>
      <w:r>
        <w:rPr>
          <w:rFonts w:ascii="Times New Roman" w:hAnsi="Times New Roman"/>
          <w:sz w:val="24"/>
        </w:rPr>
        <w:t>одства, участков для личного подсобного и дачного хозяйства, садоводства и огородничества (ст.394</w:t>
      </w:r>
      <w:proofErr w:type="gramEnd"/>
      <w:r>
        <w:rPr>
          <w:rFonts w:ascii="Times New Roman" w:hAnsi="Times New Roman"/>
          <w:sz w:val="24"/>
        </w:rPr>
        <w:t xml:space="preserve"> </w:t>
      </w:r>
      <w:proofErr w:type="gramStart"/>
      <w:r>
        <w:rPr>
          <w:rFonts w:ascii="Times New Roman" w:hAnsi="Times New Roman"/>
          <w:sz w:val="24"/>
        </w:rPr>
        <w:t xml:space="preserve">НК РФ). </w:t>
      </w:r>
      <w:proofErr w:type="gramEnd"/>
    </w:p>
    <w:p w14:paraId="0B000000" w14:textId="47B368D5" w:rsidR="001B736D" w:rsidRDefault="008B7EB9">
      <w:pPr>
        <w:spacing w:after="0" w:line="240" w:lineRule="auto"/>
        <w:ind w:firstLine="54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Д</w:t>
      </w:r>
      <w:r>
        <w:rPr>
          <w:rFonts w:ascii="Times New Roman" w:hAnsi="Times New Roman"/>
          <w:sz w:val="24"/>
        </w:rPr>
        <w:t>ля применения налоговой ставки в размере, не превышающем 0,3%, необходимо одновременное соблюдение двух условий:</w:t>
      </w:r>
    </w:p>
    <w:p w14:paraId="0C000000" w14:textId="77777777" w:rsidR="001B736D" w:rsidRDefault="008B7EB9">
      <w:pPr>
        <w:spacing w:after="0" w:line="240" w:lineRule="auto"/>
        <w:ind w:firstLine="54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- отн</w:t>
      </w:r>
      <w:r>
        <w:rPr>
          <w:rFonts w:ascii="Times New Roman" w:hAnsi="Times New Roman"/>
          <w:sz w:val="24"/>
        </w:rPr>
        <w:t>есение земельного участка к определенной категории земель или виду разрешенного использования (например, к землям сельскохозяйственного назначения или к землям в составе зон сельскохозяйственного использования в населенных пунктах);</w:t>
      </w:r>
    </w:p>
    <w:p w14:paraId="0D000000" w14:textId="77777777" w:rsidR="001B736D" w:rsidRDefault="008B7EB9">
      <w:pPr>
        <w:spacing w:after="0" w:line="240" w:lineRule="auto"/>
        <w:ind w:firstLine="54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- фактическое использов</w:t>
      </w:r>
      <w:r>
        <w:rPr>
          <w:rFonts w:ascii="Times New Roman" w:hAnsi="Times New Roman"/>
          <w:sz w:val="24"/>
        </w:rPr>
        <w:t>ание этого земельного участка по назначению (например: для сельскохозяйственного производства).</w:t>
      </w:r>
    </w:p>
    <w:p w14:paraId="0E000000" w14:textId="77777777" w:rsidR="001B736D" w:rsidRDefault="008B7EB9">
      <w:pPr>
        <w:spacing w:after="0" w:line="240" w:lineRule="auto"/>
        <w:ind w:firstLine="54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Таким образом, если земельный участок отвечает одновременно обоим указанным критериям, обложение земельным налогом производится по ставке, не превышающей 0,3%.</w:t>
      </w:r>
    </w:p>
    <w:p w14:paraId="0F000000" w14:textId="77777777" w:rsidR="001B736D" w:rsidRDefault="008B7EB9">
      <w:pPr>
        <w:spacing w:after="0" w:line="240" w:lineRule="auto"/>
        <w:ind w:firstLine="54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Максимальная ставка по земельному налогу в отношении «прочих земель» установлена в размере 1,5% , однако такая ставка может применяться и в случае нецелевого использования земель с иным видом разрешенного использования, а именно:</w:t>
      </w:r>
    </w:p>
    <w:p w14:paraId="10000000" w14:textId="77777777" w:rsidR="001B736D" w:rsidRDefault="008B7EB9">
      <w:pPr>
        <w:spacing w:after="0" w:line="240" w:lineRule="auto"/>
        <w:ind w:firstLine="540"/>
        <w:jc w:val="both"/>
        <w:rPr>
          <w:rFonts w:ascii="Times New Roman" w:hAnsi="Times New Roman"/>
          <w:sz w:val="24"/>
        </w:rPr>
      </w:pPr>
      <w:r>
        <w:rPr>
          <w:rFonts w:ascii="Calibri" w:hAnsi="Calibri"/>
          <w:sz w:val="24"/>
        </w:rPr>
        <w:t xml:space="preserve">- </w:t>
      </w:r>
      <w:r>
        <w:rPr>
          <w:rFonts w:ascii="Times New Roman" w:hAnsi="Times New Roman"/>
          <w:sz w:val="24"/>
        </w:rPr>
        <w:t>когда уполномоченные орг</w:t>
      </w:r>
      <w:r>
        <w:rPr>
          <w:rFonts w:ascii="Times New Roman" w:hAnsi="Times New Roman"/>
          <w:sz w:val="24"/>
        </w:rPr>
        <w:t>аны (</w:t>
      </w:r>
      <w:proofErr w:type="spellStart"/>
      <w:r>
        <w:rPr>
          <w:rFonts w:ascii="Times New Roman" w:hAnsi="Times New Roman"/>
          <w:sz w:val="24"/>
        </w:rPr>
        <w:t>Россельхознадзор</w:t>
      </w:r>
      <w:proofErr w:type="spellEnd"/>
      <w:r>
        <w:rPr>
          <w:rFonts w:ascii="Times New Roman" w:hAnsi="Times New Roman"/>
          <w:sz w:val="24"/>
        </w:rPr>
        <w:t xml:space="preserve">, </w:t>
      </w:r>
      <w:proofErr w:type="spellStart"/>
      <w:r>
        <w:rPr>
          <w:rFonts w:ascii="Times New Roman" w:hAnsi="Times New Roman"/>
          <w:sz w:val="24"/>
        </w:rPr>
        <w:t>Росреестр</w:t>
      </w:r>
      <w:proofErr w:type="spellEnd"/>
      <w:r>
        <w:rPr>
          <w:rFonts w:ascii="Times New Roman" w:hAnsi="Times New Roman"/>
          <w:sz w:val="24"/>
        </w:rPr>
        <w:t>, муниципальный орган) признают земельный участок, предназначенный для сельхозпроизводства, не используемым по целевому назначению;</w:t>
      </w:r>
    </w:p>
    <w:p w14:paraId="11000000" w14:textId="77777777" w:rsidR="001B736D" w:rsidRDefault="008B7EB9">
      <w:pPr>
        <w:spacing w:after="0" w:line="240" w:lineRule="auto"/>
        <w:ind w:firstLine="54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- когда участок с видом разрешенного использования «для индивидуального жилищного строительс</w:t>
      </w:r>
      <w:r>
        <w:rPr>
          <w:rFonts w:ascii="Times New Roman" w:hAnsi="Times New Roman"/>
          <w:sz w:val="24"/>
        </w:rPr>
        <w:t xml:space="preserve">тва», «для дачного хозяйства» или «для дачного строительства», «для ведения личного подсобного хозяйства» используется в предпринимательской деятельности,  </w:t>
      </w:r>
    </w:p>
    <w:p w14:paraId="12000000" w14:textId="77777777" w:rsidR="001B736D" w:rsidRDefault="008B7EB9">
      <w:pPr>
        <w:spacing w:after="0" w:line="240" w:lineRule="auto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     Признаками использования данных участков в предпринимательской деятельности могут быть  (</w:t>
      </w:r>
      <w:hyperlink r:id="rId5" w:history="1">
        <w:r>
          <w:rPr>
            <w:rFonts w:ascii="Times New Roman" w:hAnsi="Times New Roman"/>
            <w:sz w:val="24"/>
          </w:rPr>
          <w:t>письмо</w:t>
        </w:r>
      </w:hyperlink>
      <w:r>
        <w:rPr>
          <w:rFonts w:ascii="Times New Roman" w:hAnsi="Times New Roman"/>
          <w:sz w:val="24"/>
        </w:rPr>
        <w:t xml:space="preserve"> ФНС России от 26.01.2018 N БС-4-21/1390@, 17.07.2025 №БС-4-21/6776@):  </w:t>
      </w:r>
    </w:p>
    <w:p w14:paraId="13000000" w14:textId="77777777" w:rsidR="001B736D" w:rsidRDefault="008B7EB9" w:rsidP="008B7EB9">
      <w:pPr>
        <w:spacing w:after="0" w:line="240" w:lineRule="auto"/>
        <w:ind w:firstLine="72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- множественность уча</w:t>
      </w:r>
      <w:r>
        <w:rPr>
          <w:rFonts w:ascii="Times New Roman" w:hAnsi="Times New Roman"/>
          <w:sz w:val="24"/>
        </w:rPr>
        <w:t>стков, принадлежащих одному лицу, зарегистрированному в качестве индивидуального предпринимателя, основным видом деятельности которого является продажа недвижимости;</w:t>
      </w:r>
    </w:p>
    <w:p w14:paraId="14000000" w14:textId="77777777" w:rsidR="001B736D" w:rsidRDefault="008B7EB9" w:rsidP="008B7EB9">
      <w:pPr>
        <w:spacing w:after="0" w:line="240" w:lineRule="auto"/>
        <w:ind w:firstLine="720"/>
        <w:jc w:val="both"/>
        <w:rPr>
          <w:rFonts w:ascii="Times New Roman" w:hAnsi="Times New Roman"/>
          <w:sz w:val="24"/>
        </w:rPr>
      </w:pPr>
      <w:bookmarkStart w:id="0" w:name="_GoBack"/>
      <w:bookmarkEnd w:id="0"/>
      <w:r>
        <w:rPr>
          <w:rFonts w:ascii="Times New Roman" w:hAnsi="Times New Roman"/>
          <w:sz w:val="24"/>
        </w:rPr>
        <w:t>- установление признаков коммерческого землепользования (для извлечения прибыли), в том чи</w:t>
      </w:r>
      <w:r>
        <w:rPr>
          <w:rFonts w:ascii="Times New Roman" w:hAnsi="Times New Roman"/>
          <w:sz w:val="24"/>
        </w:rPr>
        <w:t>сле создание на соответствующей территории инфраструктуры (построены дороги, подведено электричество для дальнейшей застройки и т.п.), то есть использования участков налогоплательщиком в предпринимательской деятельности.</w:t>
      </w:r>
    </w:p>
    <w:p w14:paraId="15000000" w14:textId="77777777" w:rsidR="001B736D" w:rsidRDefault="001B736D">
      <w:pPr>
        <w:spacing w:after="0" w:line="240" w:lineRule="auto"/>
        <w:jc w:val="both"/>
        <w:rPr>
          <w:rFonts w:ascii="Times New Roman" w:hAnsi="Times New Roman"/>
          <w:sz w:val="24"/>
        </w:rPr>
      </w:pPr>
    </w:p>
    <w:p w14:paraId="16000000" w14:textId="77777777" w:rsidR="001B736D" w:rsidRDefault="001B736D">
      <w:pPr>
        <w:spacing w:after="0" w:line="240" w:lineRule="auto"/>
        <w:ind w:firstLine="540"/>
        <w:jc w:val="both"/>
        <w:rPr>
          <w:rFonts w:ascii="Arial" w:hAnsi="Arial"/>
          <w:sz w:val="24"/>
        </w:rPr>
      </w:pPr>
    </w:p>
    <w:p w14:paraId="17000000" w14:textId="77777777" w:rsidR="001B736D" w:rsidRDefault="001B736D">
      <w:pPr>
        <w:spacing w:after="0" w:line="240" w:lineRule="auto"/>
        <w:ind w:firstLine="540"/>
        <w:jc w:val="both"/>
        <w:rPr>
          <w:rFonts w:ascii="Arial" w:hAnsi="Arial"/>
          <w:sz w:val="24"/>
        </w:rPr>
      </w:pPr>
    </w:p>
    <w:sectPr w:rsidR="001B736D">
      <w:pgSz w:w="11906" w:h="16838"/>
      <w:pgMar w:top="426" w:right="566" w:bottom="1134" w:left="1276" w:header="0" w:footer="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XO Thames">
    <w:panose1 w:val="02020603050405020304"/>
    <w:charset w:val="CC"/>
    <w:family w:val="roman"/>
    <w:pitch w:val="variable"/>
    <w:sig w:usb0="800002FF" w:usb1="0000084A" w:usb2="00000000" w:usb3="00000000" w:csb0="00000015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proofState w:spelling="clean" w:grammar="clean"/>
  <w:defaultTabStop w:val="720"/>
  <w:characterSpacingControl w:val="doNotCompress"/>
  <w:compat>
    <w:compatSetting w:name="compatibilityMode" w:uri="http://schemas.microsoft.com/office/word" w:val="12"/>
  </w:compat>
  <w:rsids>
    <w:rsidRoot w:val="001B736D"/>
    <w:rsid w:val="001B736D"/>
    <w:rsid w:val="008B7E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pPr>
      <w:spacing w:after="200" w:line="276" w:lineRule="auto"/>
    </w:pPr>
  </w:style>
  <w:style w:type="paragraph" w:styleId="10">
    <w:name w:val="heading 1"/>
    <w:next w:val="a"/>
    <w:link w:val="11"/>
    <w:uiPriority w:val="9"/>
    <w:qFormat/>
    <w:pPr>
      <w:spacing w:before="120" w:after="120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outlineLvl w:val="1"/>
    </w:pPr>
    <w:rPr>
      <w:rFonts w:ascii="XO Thames" w:hAnsi="XO Thames"/>
      <w:b/>
      <w:color w:val="00A0FF"/>
      <w:sz w:val="26"/>
    </w:rPr>
  </w:style>
  <w:style w:type="paragraph" w:styleId="3">
    <w:name w:val="heading 3"/>
    <w:next w:val="a"/>
    <w:link w:val="30"/>
    <w:uiPriority w:val="9"/>
    <w:qFormat/>
    <w:pPr>
      <w:outlineLvl w:val="2"/>
    </w:pPr>
    <w:rPr>
      <w:rFonts w:ascii="XO Thames" w:hAnsi="XO Thames"/>
      <w:b/>
      <w:i/>
    </w:rPr>
  </w:style>
  <w:style w:type="paragraph" w:styleId="4">
    <w:name w:val="heading 4"/>
    <w:next w:val="a"/>
    <w:link w:val="40"/>
    <w:uiPriority w:val="9"/>
    <w:qFormat/>
    <w:pPr>
      <w:spacing w:before="120" w:after="120"/>
      <w:outlineLvl w:val="3"/>
    </w:pPr>
    <w:rPr>
      <w:rFonts w:ascii="XO Thames" w:hAnsi="XO Thames"/>
      <w:b/>
      <w:color w:val="595959"/>
      <w:sz w:val="26"/>
    </w:rPr>
  </w:style>
  <w:style w:type="paragraph" w:styleId="5">
    <w:name w:val="heading 5"/>
    <w:next w:val="a"/>
    <w:link w:val="50"/>
    <w:uiPriority w:val="9"/>
    <w:qFormat/>
    <w:pPr>
      <w:spacing w:before="120" w:after="120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rFonts w:asciiTheme="minorHAnsi" w:hAnsiTheme="minorHAnsi"/>
      <w:sz w:val="22"/>
    </w:rPr>
  </w:style>
  <w:style w:type="paragraph" w:styleId="21">
    <w:name w:val="toc 2"/>
    <w:next w:val="a"/>
    <w:link w:val="22"/>
    <w:uiPriority w:val="39"/>
    <w:pPr>
      <w:ind w:left="200"/>
    </w:pPr>
  </w:style>
  <w:style w:type="character" w:customStyle="1" w:styleId="22">
    <w:name w:val="Оглавление 2 Знак"/>
    <w:link w:val="21"/>
  </w:style>
  <w:style w:type="paragraph" w:styleId="41">
    <w:name w:val="toc 4"/>
    <w:next w:val="a"/>
    <w:link w:val="42"/>
    <w:uiPriority w:val="39"/>
    <w:pPr>
      <w:ind w:left="600"/>
    </w:pPr>
  </w:style>
  <w:style w:type="character" w:customStyle="1" w:styleId="42">
    <w:name w:val="Оглавление 4 Знак"/>
    <w:link w:val="41"/>
  </w:style>
  <w:style w:type="paragraph" w:customStyle="1" w:styleId="ConsPlusTitle">
    <w:name w:val="ConsPlusTitle"/>
    <w:link w:val="ConsPlusTitle0"/>
    <w:pPr>
      <w:widowControl w:val="0"/>
    </w:pPr>
    <w:rPr>
      <w:rFonts w:ascii="Arial" w:hAnsi="Arial"/>
      <w:b/>
      <w:sz w:val="16"/>
    </w:rPr>
  </w:style>
  <w:style w:type="character" w:customStyle="1" w:styleId="ConsPlusTitle0">
    <w:name w:val="ConsPlusTitle"/>
    <w:link w:val="ConsPlusTitle"/>
    <w:rPr>
      <w:rFonts w:ascii="Arial" w:hAnsi="Arial"/>
      <w:b/>
      <w:sz w:val="16"/>
    </w:rPr>
  </w:style>
  <w:style w:type="paragraph" w:styleId="6">
    <w:name w:val="toc 6"/>
    <w:next w:val="a"/>
    <w:link w:val="60"/>
    <w:uiPriority w:val="39"/>
    <w:pPr>
      <w:ind w:left="1000"/>
    </w:pPr>
  </w:style>
  <w:style w:type="character" w:customStyle="1" w:styleId="60">
    <w:name w:val="Оглавление 6 Знак"/>
    <w:link w:val="6"/>
  </w:style>
  <w:style w:type="paragraph" w:styleId="7">
    <w:name w:val="toc 7"/>
    <w:next w:val="a"/>
    <w:link w:val="70"/>
    <w:uiPriority w:val="39"/>
    <w:pPr>
      <w:ind w:left="1200"/>
    </w:pPr>
  </w:style>
  <w:style w:type="character" w:customStyle="1" w:styleId="70">
    <w:name w:val="Оглавление 7 Знак"/>
    <w:link w:val="7"/>
  </w:style>
  <w:style w:type="paragraph" w:customStyle="1" w:styleId="ConsPlusNormal">
    <w:name w:val="ConsPlusNormal"/>
    <w:link w:val="ConsPlusNormal0"/>
    <w:pPr>
      <w:widowControl w:val="0"/>
    </w:pPr>
    <w:rPr>
      <w:rFonts w:ascii="Arial" w:hAnsi="Arial"/>
      <w:sz w:val="16"/>
    </w:rPr>
  </w:style>
  <w:style w:type="character" w:customStyle="1" w:styleId="ConsPlusNormal0">
    <w:name w:val="ConsPlusNormal"/>
    <w:link w:val="ConsPlusNormal"/>
    <w:rPr>
      <w:rFonts w:ascii="Arial" w:hAnsi="Arial"/>
      <w:sz w:val="16"/>
    </w:rPr>
  </w:style>
  <w:style w:type="character" w:customStyle="1" w:styleId="30">
    <w:name w:val="Заголовок 3 Знак"/>
    <w:link w:val="3"/>
    <w:rPr>
      <w:rFonts w:ascii="XO Thames" w:hAnsi="XO Thames"/>
      <w:b/>
      <w:i/>
      <w:color w:val="000000"/>
    </w:rPr>
  </w:style>
  <w:style w:type="paragraph" w:customStyle="1" w:styleId="ConsPlusJurTerm">
    <w:name w:val="ConsPlusJurTerm"/>
    <w:link w:val="ConsPlusJurTerm0"/>
    <w:pPr>
      <w:widowControl w:val="0"/>
    </w:pPr>
    <w:rPr>
      <w:rFonts w:ascii="Tahoma" w:hAnsi="Tahoma"/>
      <w:sz w:val="26"/>
    </w:rPr>
  </w:style>
  <w:style w:type="character" w:customStyle="1" w:styleId="ConsPlusJurTerm0">
    <w:name w:val="ConsPlusJurTerm"/>
    <w:link w:val="ConsPlusJurTerm"/>
    <w:rPr>
      <w:rFonts w:ascii="Tahoma" w:hAnsi="Tahoma"/>
      <w:sz w:val="26"/>
    </w:rPr>
  </w:style>
  <w:style w:type="paragraph" w:customStyle="1" w:styleId="12">
    <w:name w:val="Основной шрифт абзаца1"/>
    <w:link w:val="ConsPlusCell"/>
  </w:style>
  <w:style w:type="paragraph" w:customStyle="1" w:styleId="ConsPlusCell">
    <w:name w:val="ConsPlusCell"/>
    <w:link w:val="ConsPlusCell0"/>
    <w:pPr>
      <w:widowControl w:val="0"/>
    </w:pPr>
    <w:rPr>
      <w:rFonts w:ascii="Courier New" w:hAnsi="Courier New"/>
      <w:sz w:val="20"/>
    </w:rPr>
  </w:style>
  <w:style w:type="character" w:customStyle="1" w:styleId="ConsPlusCell0">
    <w:name w:val="ConsPlusCell"/>
    <w:link w:val="ConsPlusCell"/>
    <w:rPr>
      <w:rFonts w:ascii="Courier New" w:hAnsi="Courier New"/>
      <w:sz w:val="20"/>
    </w:rPr>
  </w:style>
  <w:style w:type="paragraph" w:customStyle="1" w:styleId="ConsPlusTitlePage">
    <w:name w:val="ConsPlusTitlePage"/>
    <w:link w:val="ConsPlusTitlePage0"/>
    <w:pPr>
      <w:widowControl w:val="0"/>
    </w:pPr>
    <w:rPr>
      <w:rFonts w:ascii="Tahoma" w:hAnsi="Tahoma"/>
      <w:sz w:val="16"/>
    </w:rPr>
  </w:style>
  <w:style w:type="character" w:customStyle="1" w:styleId="ConsPlusTitlePage0">
    <w:name w:val="ConsPlusTitlePage"/>
    <w:link w:val="ConsPlusTitlePage"/>
    <w:rPr>
      <w:rFonts w:ascii="Tahoma" w:hAnsi="Tahoma"/>
      <w:sz w:val="16"/>
    </w:rPr>
  </w:style>
  <w:style w:type="paragraph" w:styleId="31">
    <w:name w:val="toc 3"/>
    <w:next w:val="a"/>
    <w:link w:val="32"/>
    <w:uiPriority w:val="39"/>
    <w:pPr>
      <w:ind w:left="400"/>
    </w:pPr>
  </w:style>
  <w:style w:type="character" w:customStyle="1" w:styleId="32">
    <w:name w:val="Оглавление 3 Знак"/>
    <w:link w:val="31"/>
  </w:style>
  <w:style w:type="paragraph" w:customStyle="1" w:styleId="ConsPlusTextList">
    <w:name w:val="ConsPlusTextList"/>
    <w:link w:val="ConsPlusTextList0"/>
    <w:pPr>
      <w:widowControl w:val="0"/>
    </w:pPr>
    <w:rPr>
      <w:rFonts w:ascii="Arial" w:hAnsi="Arial"/>
      <w:sz w:val="20"/>
    </w:rPr>
  </w:style>
  <w:style w:type="character" w:customStyle="1" w:styleId="ConsPlusTextList0">
    <w:name w:val="ConsPlusTextList"/>
    <w:link w:val="ConsPlusTextList"/>
    <w:rPr>
      <w:rFonts w:ascii="Arial" w:hAnsi="Arial"/>
      <w:sz w:val="20"/>
    </w:rPr>
  </w:style>
  <w:style w:type="paragraph" w:customStyle="1" w:styleId="ConsPlusNonformat">
    <w:name w:val="ConsPlusNonformat"/>
    <w:link w:val="ConsPlusNonformat0"/>
    <w:pPr>
      <w:widowControl w:val="0"/>
    </w:pPr>
    <w:rPr>
      <w:rFonts w:ascii="Courier New" w:hAnsi="Courier New"/>
      <w:sz w:val="20"/>
    </w:rPr>
  </w:style>
  <w:style w:type="character" w:customStyle="1" w:styleId="ConsPlusNonformat0">
    <w:name w:val="ConsPlusNonformat"/>
    <w:link w:val="ConsPlusNonformat"/>
    <w:rPr>
      <w:rFonts w:ascii="Courier New" w:hAnsi="Courier New"/>
      <w:sz w:val="20"/>
    </w:rPr>
  </w:style>
  <w:style w:type="paragraph" w:styleId="a3">
    <w:name w:val="Balloon Text"/>
    <w:basedOn w:val="a"/>
    <w:link w:val="a4"/>
    <w:pPr>
      <w:spacing w:after="0" w:line="240" w:lineRule="auto"/>
    </w:pPr>
    <w:rPr>
      <w:rFonts w:ascii="Tahoma" w:hAnsi="Tahoma"/>
      <w:sz w:val="16"/>
    </w:rPr>
  </w:style>
  <w:style w:type="character" w:customStyle="1" w:styleId="a4">
    <w:name w:val="Текст выноски Знак"/>
    <w:basedOn w:val="1"/>
    <w:link w:val="a3"/>
    <w:rPr>
      <w:rFonts w:ascii="Tahoma" w:hAnsi="Tahoma"/>
      <w:sz w:val="16"/>
    </w:rPr>
  </w:style>
  <w:style w:type="character" w:customStyle="1" w:styleId="50">
    <w:name w:val="Заголовок 5 Знак"/>
    <w:link w:val="5"/>
    <w:rPr>
      <w:rFonts w:ascii="XO Thames" w:hAnsi="XO Thames"/>
      <w:b/>
      <w:color w:val="000000"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3">
    <w:name w:val="Гиперссылка1"/>
    <w:basedOn w:val="12"/>
    <w:link w:val="a5"/>
    <w:rPr>
      <w:color w:val="0000FF"/>
      <w:u w:val="single"/>
    </w:rPr>
  </w:style>
  <w:style w:type="character" w:styleId="a5">
    <w:name w:val="Hyperlink"/>
    <w:basedOn w:val="a0"/>
    <w:link w:val="13"/>
    <w:rPr>
      <w:color w:val="0000FF"/>
      <w:u w:val="single"/>
    </w:rPr>
  </w:style>
  <w:style w:type="paragraph" w:customStyle="1" w:styleId="Footnote">
    <w:name w:val="Footnote"/>
    <w:link w:val="Footnote0"/>
    <w:rPr>
      <w:rFonts w:ascii="XO Thames" w:hAnsi="XO Thames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</w:rPr>
  </w:style>
  <w:style w:type="character" w:customStyle="1" w:styleId="15">
    <w:name w:val="Оглавление 1 Знак"/>
    <w:link w:val="14"/>
    <w:rPr>
      <w:rFonts w:ascii="XO Thames" w:hAnsi="XO Thames"/>
      <w:b/>
    </w:rPr>
  </w:style>
  <w:style w:type="paragraph" w:styleId="a6">
    <w:name w:val="Normal (Web)"/>
    <w:basedOn w:val="a"/>
    <w:link w:val="a7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a7">
    <w:name w:val="Обычный (веб) Знак"/>
    <w:basedOn w:val="1"/>
    <w:link w:val="a6"/>
    <w:rPr>
      <w:rFonts w:ascii="Times New Roman" w:hAnsi="Times New Roman"/>
      <w:sz w:val="24"/>
    </w:rPr>
  </w:style>
  <w:style w:type="paragraph" w:customStyle="1" w:styleId="HeaderandFooter">
    <w:name w:val="Header and Footer"/>
    <w:link w:val="HeaderandFooter0"/>
    <w:pPr>
      <w:spacing w:line="360" w:lineRule="auto"/>
    </w:pPr>
    <w:rPr>
      <w:rFonts w:ascii="XO Thames" w:hAnsi="XO Thames"/>
      <w:sz w:val="20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customStyle="1" w:styleId="ConsPlusDocList">
    <w:name w:val="ConsPlusDocList"/>
    <w:link w:val="ConsPlusDocList0"/>
    <w:pPr>
      <w:widowControl w:val="0"/>
    </w:pPr>
    <w:rPr>
      <w:rFonts w:ascii="Courier New" w:hAnsi="Courier New"/>
      <w:sz w:val="16"/>
    </w:rPr>
  </w:style>
  <w:style w:type="character" w:customStyle="1" w:styleId="ConsPlusDocList0">
    <w:name w:val="ConsPlusDocList"/>
    <w:link w:val="ConsPlusDocList"/>
    <w:rPr>
      <w:rFonts w:ascii="Courier New" w:hAnsi="Courier New"/>
      <w:sz w:val="16"/>
    </w:rPr>
  </w:style>
  <w:style w:type="paragraph" w:styleId="9">
    <w:name w:val="toc 9"/>
    <w:next w:val="a"/>
    <w:link w:val="90"/>
    <w:uiPriority w:val="39"/>
    <w:pPr>
      <w:ind w:left="1600"/>
    </w:pPr>
  </w:style>
  <w:style w:type="character" w:customStyle="1" w:styleId="90">
    <w:name w:val="Оглавление 9 Знак"/>
    <w:link w:val="9"/>
  </w:style>
  <w:style w:type="paragraph" w:styleId="8">
    <w:name w:val="toc 8"/>
    <w:next w:val="a"/>
    <w:link w:val="80"/>
    <w:uiPriority w:val="39"/>
    <w:pPr>
      <w:ind w:left="1400"/>
    </w:pPr>
  </w:style>
  <w:style w:type="character" w:customStyle="1" w:styleId="80">
    <w:name w:val="Оглавление 8 Знак"/>
    <w:link w:val="8"/>
  </w:style>
  <w:style w:type="paragraph" w:styleId="51">
    <w:name w:val="toc 5"/>
    <w:next w:val="a"/>
    <w:link w:val="52"/>
    <w:uiPriority w:val="39"/>
    <w:pPr>
      <w:ind w:left="800"/>
    </w:pPr>
  </w:style>
  <w:style w:type="character" w:customStyle="1" w:styleId="52">
    <w:name w:val="Оглавление 5 Знак"/>
    <w:link w:val="51"/>
  </w:style>
  <w:style w:type="paragraph" w:styleId="a8">
    <w:name w:val="Subtitle"/>
    <w:next w:val="a"/>
    <w:link w:val="a9"/>
    <w:uiPriority w:val="11"/>
    <w:qFormat/>
    <w:rPr>
      <w:rFonts w:ascii="XO Thames" w:hAnsi="XO Thames"/>
      <w:i/>
      <w:color w:val="616161"/>
      <w:sz w:val="24"/>
    </w:rPr>
  </w:style>
  <w:style w:type="character" w:customStyle="1" w:styleId="a9">
    <w:name w:val="Подзаголовок Знак"/>
    <w:link w:val="a8"/>
    <w:rPr>
      <w:rFonts w:ascii="XO Thames" w:hAnsi="XO Thames"/>
      <w:i/>
      <w:color w:val="616161"/>
      <w:sz w:val="24"/>
    </w:rPr>
  </w:style>
  <w:style w:type="paragraph" w:customStyle="1" w:styleId="toc10">
    <w:name w:val="toc 10"/>
    <w:next w:val="a"/>
    <w:link w:val="toc100"/>
    <w:uiPriority w:val="39"/>
    <w:pPr>
      <w:ind w:left="1800"/>
    </w:pPr>
  </w:style>
  <w:style w:type="character" w:customStyle="1" w:styleId="toc100">
    <w:name w:val="toc 10"/>
    <w:link w:val="toc10"/>
  </w:style>
  <w:style w:type="paragraph" w:styleId="aa">
    <w:name w:val="Title"/>
    <w:next w:val="a"/>
    <w:link w:val="ab"/>
    <w:uiPriority w:val="10"/>
    <w:qFormat/>
    <w:rPr>
      <w:rFonts w:ascii="XO Thames" w:hAnsi="XO Thames"/>
      <w:b/>
      <w:sz w:val="52"/>
    </w:rPr>
  </w:style>
  <w:style w:type="character" w:customStyle="1" w:styleId="ab">
    <w:name w:val="Название Знак"/>
    <w:link w:val="aa"/>
    <w:rPr>
      <w:rFonts w:ascii="XO Thames" w:hAnsi="XO Thames"/>
      <w:b/>
      <w:sz w:val="52"/>
    </w:rPr>
  </w:style>
  <w:style w:type="character" w:customStyle="1" w:styleId="40">
    <w:name w:val="Заголовок 4 Знак"/>
    <w:link w:val="4"/>
    <w:rPr>
      <w:rFonts w:ascii="XO Thames" w:hAnsi="XO Thames"/>
      <w:b/>
      <w:color w:val="595959"/>
      <w:sz w:val="26"/>
    </w:rPr>
  </w:style>
  <w:style w:type="paragraph" w:customStyle="1" w:styleId="ConsPlusTextList1">
    <w:name w:val="ConsPlusTextList1"/>
    <w:link w:val="ConsPlusTextList10"/>
    <w:pPr>
      <w:widowControl w:val="0"/>
    </w:pPr>
    <w:rPr>
      <w:rFonts w:ascii="Arial" w:hAnsi="Arial"/>
      <w:sz w:val="20"/>
    </w:rPr>
  </w:style>
  <w:style w:type="character" w:customStyle="1" w:styleId="ConsPlusTextList10">
    <w:name w:val="ConsPlusTextList1"/>
    <w:link w:val="ConsPlusTextList1"/>
    <w:rPr>
      <w:rFonts w:ascii="Arial" w:hAnsi="Arial"/>
      <w:sz w:val="20"/>
    </w:rPr>
  </w:style>
  <w:style w:type="character" w:customStyle="1" w:styleId="20">
    <w:name w:val="Заголовок 2 Знак"/>
    <w:link w:val="2"/>
    <w:rPr>
      <w:rFonts w:ascii="XO Thames" w:hAnsi="XO Thames"/>
      <w:b/>
      <w:color w:val="00A0FF"/>
      <w:sz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0">
    <w:name w:val="heading 1"/>
    <w:basedOn w:val="a"/>
    <w:next w:val="a"/>
    <w:link w:val="1"/>
    <w:uiPriority w:val="9"/>
    <w:qFormat/>
    <w:rsid w:val="00111FAE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Heading 1 Char"/>
    <w:basedOn w:val="a0"/>
    <w:link w:val="10"/>
    <w:uiPriority w:val="9"/>
    <w:rsid w:val="00111FAE"/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ref=D4A8AF04879ED21B5A1D4B865608A0766EF7BA22510EA80F7BCD6498DC120DFD6DFA640C4CC3D6CB631F63D2E7F79F8DA7FDC736DB5203724CeBB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453</Words>
  <Characters>2586</Characters>
  <Application>Microsoft Office Word</Application>
  <DocSecurity>0</DocSecurity>
  <Lines>21</Lines>
  <Paragraphs>6</Paragraphs>
  <ScaleCrop>false</ScaleCrop>
  <Company/>
  <LinksUpToDate>false</LinksUpToDate>
  <CharactersWithSpaces>3033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Гладышева Галина Павловна</cp:lastModifiedBy>
  <cp:revision>2</cp:revision>
  <dcterms:created xsi:type="dcterms:W3CDTF">2025-11-05T07:35:00Z</dcterms:created>
  <dcterms:modified xsi:type="dcterms:W3CDTF">2025-11-05T07:40:00Z</dcterms:modified>
</cp:coreProperties>
</file>