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5CB" w:rsidRPr="00DD75CB" w:rsidRDefault="00DE7602" w:rsidP="00DD75C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31.6pt;width:180pt;height:122.2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93049E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75CB" w:rsidRDefault="00DD75CB" w:rsidP="00DD75C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DD75CB" w:rsidRPr="00691FD5" w:rsidRDefault="00DD75CB" w:rsidP="00DD75C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DD75CB" w:rsidRPr="00DE6B36" w:rsidRDefault="003C4C54" w:rsidP="00BF0369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19 </w:t>
      </w:r>
      <w:r w:rsidR="007E6F9F">
        <w:rPr>
          <w:rFonts w:ascii="Times New Roman" w:hAnsi="Times New Roman" w:cs="Times New Roman"/>
          <w:b/>
          <w:sz w:val="28"/>
          <w:szCs w:val="28"/>
        </w:rPr>
        <w:t>апреля 2022</w:t>
      </w:r>
      <w:r w:rsidR="00652672" w:rsidRPr="00826065">
        <w:rPr>
          <w:rFonts w:ascii="Times New Roman" w:hAnsi="Times New Roman" w:cs="Times New Roman"/>
          <w:b/>
          <w:sz w:val="28"/>
          <w:szCs w:val="28"/>
        </w:rPr>
        <w:t xml:space="preserve"> года №</w:t>
      </w:r>
      <w:r w:rsidR="00DD75CB" w:rsidRPr="008260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9</w:t>
      </w:r>
    </w:p>
    <w:p w:rsidR="00DD75CB" w:rsidRDefault="00DD75CB" w:rsidP="00DD75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с. Камлак</w:t>
      </w:r>
    </w:p>
    <w:p w:rsidR="000B6F7F" w:rsidRDefault="000B6F7F" w:rsidP="000B6F7F">
      <w:pPr>
        <w:jc w:val="both"/>
        <w:rPr>
          <w:b/>
          <w:sz w:val="28"/>
          <w:szCs w:val="28"/>
        </w:rPr>
      </w:pPr>
    </w:p>
    <w:p w:rsidR="0093049E" w:rsidRPr="005B05C4" w:rsidRDefault="0093049E" w:rsidP="0093049E">
      <w:pPr>
        <w:rPr>
          <w:b/>
          <w:sz w:val="28"/>
          <w:szCs w:val="28"/>
        </w:rPr>
      </w:pPr>
      <w:r w:rsidRPr="005B05C4">
        <w:rPr>
          <w:b/>
          <w:sz w:val="28"/>
          <w:szCs w:val="28"/>
        </w:rPr>
        <w:t>Об утверждении   Порядка казн</w:t>
      </w:r>
      <w:r w:rsidR="0081040F">
        <w:rPr>
          <w:b/>
          <w:sz w:val="28"/>
          <w:szCs w:val="28"/>
        </w:rPr>
        <w:t>ачейского сопровождения средств</w:t>
      </w:r>
    </w:p>
    <w:p w:rsidR="0093049E" w:rsidRDefault="0093049E" w:rsidP="0093049E"/>
    <w:p w:rsidR="0093049E" w:rsidRDefault="0093049E" w:rsidP="00930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16E28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пунктом 5 статьи 242.23 Бюджетного кодекса Российской Федерации, </w:t>
      </w:r>
      <w:r w:rsidR="003C4C54" w:rsidRPr="003C4C54">
        <w:rPr>
          <w:sz w:val="28"/>
          <w:szCs w:val="28"/>
        </w:rPr>
        <w:t>Постановлени</w:t>
      </w:r>
      <w:r w:rsidR="003C4C54">
        <w:rPr>
          <w:sz w:val="28"/>
          <w:szCs w:val="28"/>
        </w:rPr>
        <w:t>ем</w:t>
      </w:r>
      <w:r w:rsidR="003C4C54" w:rsidRPr="003C4C54">
        <w:rPr>
          <w:sz w:val="28"/>
          <w:szCs w:val="28"/>
        </w:rPr>
        <w:t xml:space="preserve"> Правительства Российской Федерации от 24.11.2021</w:t>
      </w:r>
      <w:r w:rsidR="003C4C54">
        <w:rPr>
          <w:sz w:val="28"/>
          <w:szCs w:val="28"/>
        </w:rPr>
        <w:t xml:space="preserve"> года</w:t>
      </w:r>
      <w:r w:rsidR="003C4C54" w:rsidRPr="003C4C54">
        <w:rPr>
          <w:sz w:val="28"/>
          <w:szCs w:val="28"/>
        </w:rPr>
        <w:t xml:space="preserve"> № 2024 «О правилах казначейского сопровождения»</w:t>
      </w:r>
      <w:r w:rsidR="003C4C54">
        <w:rPr>
          <w:sz w:val="28"/>
          <w:szCs w:val="28"/>
        </w:rPr>
        <w:t xml:space="preserve">, </w:t>
      </w:r>
    </w:p>
    <w:p w:rsidR="003C4C54" w:rsidRDefault="003C4C54" w:rsidP="0093049E">
      <w:pPr>
        <w:jc w:val="both"/>
        <w:rPr>
          <w:sz w:val="28"/>
          <w:szCs w:val="28"/>
        </w:rPr>
      </w:pPr>
    </w:p>
    <w:p w:rsidR="0093049E" w:rsidRDefault="0093049E" w:rsidP="0093049E">
      <w:pPr>
        <w:rPr>
          <w:b/>
          <w:sz w:val="28"/>
          <w:szCs w:val="28"/>
        </w:rPr>
      </w:pPr>
      <w:r w:rsidRPr="0093049E">
        <w:rPr>
          <w:b/>
          <w:sz w:val="28"/>
          <w:szCs w:val="28"/>
        </w:rPr>
        <w:t>ПОСТАНОВЛЯЮ:</w:t>
      </w:r>
    </w:p>
    <w:p w:rsidR="00616E28" w:rsidRPr="0093049E" w:rsidRDefault="00616E28" w:rsidP="0093049E">
      <w:pPr>
        <w:rPr>
          <w:b/>
          <w:sz w:val="28"/>
          <w:szCs w:val="28"/>
        </w:rPr>
      </w:pPr>
    </w:p>
    <w:p w:rsidR="0093049E" w:rsidRDefault="00616E28" w:rsidP="00616E28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230445">
        <w:rPr>
          <w:sz w:val="28"/>
          <w:szCs w:val="28"/>
        </w:rPr>
        <w:t>Утвердить Порядок</w:t>
      </w:r>
      <w:r w:rsidR="0093049E">
        <w:rPr>
          <w:sz w:val="28"/>
          <w:szCs w:val="28"/>
        </w:rPr>
        <w:t xml:space="preserve"> казначейского сопровождения средств, согласно приложения.</w:t>
      </w:r>
    </w:p>
    <w:p w:rsidR="00616E28" w:rsidRDefault="00616E28" w:rsidP="00616E28">
      <w:pPr>
        <w:shd w:val="clear" w:color="auto" w:fill="FFFFFF"/>
        <w:ind w:firstLine="0"/>
        <w:jc w:val="both"/>
        <w:rPr>
          <w:rFonts w:ascii="YS Text" w:hAnsi="YS Text"/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Pr="00616E28">
        <w:rPr>
          <w:sz w:val="28"/>
          <w:szCs w:val="28"/>
        </w:rPr>
        <w:t>Обнародовать настоящее Постановление в соответствии с п.7 ст. 48 Устава МО Камлакское сельское поселение</w:t>
      </w:r>
      <w:r w:rsidR="0081040F">
        <w:rPr>
          <w:sz w:val="28"/>
          <w:szCs w:val="28"/>
        </w:rPr>
        <w:t>.</w:t>
      </w:r>
    </w:p>
    <w:p w:rsidR="0093049E" w:rsidRPr="005B05C4" w:rsidRDefault="00616E28" w:rsidP="00616E28">
      <w:pPr>
        <w:shd w:val="clear" w:color="auto" w:fill="FFFFFF"/>
        <w:ind w:firstLine="0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>3.</w:t>
      </w:r>
      <w:r w:rsidR="0093049E">
        <w:rPr>
          <w:rFonts w:ascii="YS Text" w:hAnsi="YS Text"/>
          <w:color w:val="000000"/>
          <w:sz w:val="28"/>
          <w:szCs w:val="28"/>
        </w:rPr>
        <w:t xml:space="preserve">Настоящее постановление вступает в силу с момента его официального </w:t>
      </w:r>
      <w:r w:rsidR="003C4C54">
        <w:rPr>
          <w:rFonts w:ascii="YS Text" w:hAnsi="YS Text"/>
          <w:color w:val="000000"/>
          <w:sz w:val="28"/>
          <w:szCs w:val="28"/>
        </w:rPr>
        <w:t>обнародования</w:t>
      </w:r>
      <w:r w:rsidR="0093049E">
        <w:rPr>
          <w:rFonts w:ascii="YS Text" w:hAnsi="YS Text"/>
          <w:color w:val="000000"/>
          <w:sz w:val="28"/>
          <w:szCs w:val="28"/>
        </w:rPr>
        <w:t xml:space="preserve"> и распространяется на правоотношения, возникшие с 01 января 2022 года. </w:t>
      </w:r>
    </w:p>
    <w:p w:rsidR="0093049E" w:rsidRDefault="00616E28" w:rsidP="00616E28">
      <w:pPr>
        <w:ind w:firstLine="0"/>
        <w:jc w:val="both"/>
        <w:rPr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>4.</w:t>
      </w:r>
      <w:r w:rsidR="0093049E" w:rsidRPr="00B969AF">
        <w:rPr>
          <w:rFonts w:ascii="YS Text" w:hAnsi="YS Text"/>
          <w:color w:val="000000"/>
          <w:sz w:val="28"/>
          <w:szCs w:val="28"/>
        </w:rPr>
        <w:t xml:space="preserve"> Контроль за выполнением данного постановления оставляю за собой</w:t>
      </w:r>
    </w:p>
    <w:p w:rsidR="0093049E" w:rsidRDefault="0093049E" w:rsidP="0093049E">
      <w:pPr>
        <w:jc w:val="both"/>
        <w:rPr>
          <w:sz w:val="28"/>
          <w:szCs w:val="28"/>
        </w:rPr>
      </w:pPr>
    </w:p>
    <w:p w:rsidR="0093049E" w:rsidRDefault="0093049E" w:rsidP="0093049E">
      <w:pPr>
        <w:jc w:val="both"/>
        <w:rPr>
          <w:b/>
          <w:sz w:val="28"/>
          <w:szCs w:val="28"/>
        </w:rPr>
      </w:pPr>
    </w:p>
    <w:p w:rsidR="0093049E" w:rsidRDefault="0093049E" w:rsidP="0093049E">
      <w:pPr>
        <w:jc w:val="both"/>
        <w:rPr>
          <w:b/>
          <w:sz w:val="28"/>
          <w:szCs w:val="28"/>
        </w:rPr>
      </w:pPr>
    </w:p>
    <w:p w:rsidR="0093049E" w:rsidRDefault="0093049E" w:rsidP="0093049E">
      <w:pPr>
        <w:jc w:val="both"/>
        <w:rPr>
          <w:b/>
          <w:sz w:val="28"/>
          <w:szCs w:val="28"/>
        </w:rPr>
      </w:pPr>
    </w:p>
    <w:p w:rsidR="000B6F7F" w:rsidRDefault="000B6F7F" w:rsidP="000B6F7F">
      <w:pPr>
        <w:jc w:val="both"/>
        <w:rPr>
          <w:b/>
          <w:sz w:val="28"/>
          <w:szCs w:val="28"/>
        </w:rPr>
      </w:pPr>
    </w:p>
    <w:p w:rsidR="000B6F7F" w:rsidRDefault="000B6F7F" w:rsidP="000B6F7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0B6F7F" w:rsidRPr="007B521F" w:rsidRDefault="000B6F7F" w:rsidP="000B6F7F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МО Камлакское сельское поселение: _______________ </w:t>
      </w:r>
      <w:r w:rsidR="00DD75CB">
        <w:rPr>
          <w:sz w:val="28"/>
          <w:szCs w:val="28"/>
        </w:rPr>
        <w:t>С.В. Соколов</w:t>
      </w:r>
    </w:p>
    <w:p w:rsidR="005242F1" w:rsidRPr="005242F1" w:rsidRDefault="005242F1" w:rsidP="000F481B">
      <w:pPr>
        <w:jc w:val="both"/>
        <w:rPr>
          <w:b/>
          <w:szCs w:val="28"/>
        </w:rPr>
      </w:pPr>
    </w:p>
    <w:p w:rsidR="00265D62" w:rsidRDefault="00265D62" w:rsidP="00265D62">
      <w:pPr>
        <w:ind w:firstLine="0"/>
        <w:jc w:val="both"/>
        <w:rPr>
          <w:szCs w:val="28"/>
        </w:rPr>
      </w:pPr>
    </w:p>
    <w:p w:rsidR="002135CA" w:rsidRDefault="002135CA" w:rsidP="00265D62">
      <w:pPr>
        <w:ind w:firstLine="0"/>
        <w:jc w:val="both"/>
        <w:rPr>
          <w:szCs w:val="28"/>
        </w:rPr>
      </w:pPr>
    </w:p>
    <w:p w:rsidR="00616E28" w:rsidRDefault="00616E28" w:rsidP="00265D62">
      <w:pPr>
        <w:ind w:firstLine="0"/>
        <w:jc w:val="both"/>
        <w:rPr>
          <w:szCs w:val="28"/>
        </w:rPr>
      </w:pPr>
    </w:p>
    <w:p w:rsidR="00616E28" w:rsidRDefault="00616E28" w:rsidP="00265D62">
      <w:pPr>
        <w:ind w:firstLine="0"/>
        <w:jc w:val="both"/>
        <w:rPr>
          <w:szCs w:val="28"/>
        </w:rPr>
      </w:pPr>
    </w:p>
    <w:p w:rsidR="00616E28" w:rsidRDefault="00616E28" w:rsidP="00265D62">
      <w:pPr>
        <w:ind w:firstLine="0"/>
        <w:jc w:val="both"/>
        <w:rPr>
          <w:szCs w:val="28"/>
        </w:rPr>
      </w:pPr>
    </w:p>
    <w:p w:rsidR="00616E28" w:rsidRDefault="00616E28" w:rsidP="00265D62">
      <w:pPr>
        <w:ind w:firstLine="0"/>
        <w:jc w:val="both"/>
        <w:rPr>
          <w:szCs w:val="28"/>
        </w:rPr>
      </w:pPr>
    </w:p>
    <w:p w:rsidR="00616E28" w:rsidRDefault="00616E28" w:rsidP="00265D62">
      <w:pPr>
        <w:ind w:firstLine="0"/>
        <w:jc w:val="both"/>
        <w:rPr>
          <w:szCs w:val="28"/>
        </w:rPr>
      </w:pPr>
    </w:p>
    <w:p w:rsidR="00616E28" w:rsidRDefault="00616E28" w:rsidP="00265D62">
      <w:pPr>
        <w:ind w:firstLine="0"/>
        <w:jc w:val="both"/>
        <w:rPr>
          <w:szCs w:val="28"/>
        </w:rPr>
      </w:pPr>
    </w:p>
    <w:p w:rsidR="00616E28" w:rsidRDefault="00616E28" w:rsidP="00265D62">
      <w:pPr>
        <w:ind w:firstLine="0"/>
        <w:jc w:val="both"/>
        <w:rPr>
          <w:szCs w:val="28"/>
        </w:rPr>
      </w:pPr>
    </w:p>
    <w:p w:rsidR="00616E28" w:rsidRDefault="00616E28" w:rsidP="00265D62">
      <w:pPr>
        <w:ind w:firstLine="0"/>
        <w:jc w:val="both"/>
        <w:rPr>
          <w:szCs w:val="28"/>
        </w:rPr>
      </w:pPr>
    </w:p>
    <w:p w:rsidR="00616E28" w:rsidRDefault="00616E28" w:rsidP="00265D62">
      <w:pPr>
        <w:ind w:firstLine="0"/>
        <w:jc w:val="both"/>
        <w:rPr>
          <w:szCs w:val="28"/>
        </w:rPr>
      </w:pPr>
    </w:p>
    <w:p w:rsidR="00616E28" w:rsidRDefault="00616E28" w:rsidP="00265D62">
      <w:pPr>
        <w:ind w:firstLine="0"/>
        <w:jc w:val="both"/>
        <w:rPr>
          <w:szCs w:val="28"/>
        </w:rPr>
      </w:pPr>
    </w:p>
    <w:p w:rsidR="00616E28" w:rsidRDefault="00616E28" w:rsidP="00265D62">
      <w:pPr>
        <w:ind w:firstLine="0"/>
        <w:jc w:val="both"/>
        <w:rPr>
          <w:szCs w:val="28"/>
        </w:rPr>
      </w:pPr>
    </w:p>
    <w:p w:rsidR="003C4C54" w:rsidRPr="003C4C54" w:rsidRDefault="003C4C54" w:rsidP="003C4C54">
      <w:pPr>
        <w:autoSpaceDE w:val="0"/>
        <w:autoSpaceDN w:val="0"/>
        <w:spacing w:after="295" w:line="238" w:lineRule="auto"/>
        <w:ind w:left="5674" w:right="268" w:hanging="10"/>
        <w:jc w:val="left"/>
        <w:rPr>
          <w:rFonts w:eastAsiaTheme="minorEastAsia"/>
          <w:szCs w:val="20"/>
        </w:rPr>
      </w:pPr>
      <w:r w:rsidRPr="003C4C54">
        <w:rPr>
          <w:rFonts w:eastAsiaTheme="minorEastAsia"/>
          <w:szCs w:val="20"/>
        </w:rPr>
        <w:lastRenderedPageBreak/>
        <w:t>Приложение</w:t>
      </w:r>
      <w:r w:rsidRPr="003C4C54">
        <w:rPr>
          <w:rFonts w:eastAsia="Times New Roman"/>
          <w:szCs w:val="20"/>
        </w:rPr>
        <w:t xml:space="preserve"> 1 </w:t>
      </w:r>
      <w:r w:rsidRPr="003C4C54">
        <w:rPr>
          <w:rFonts w:eastAsiaTheme="minorEastAsia"/>
          <w:szCs w:val="20"/>
        </w:rPr>
        <w:t>к</w:t>
      </w:r>
      <w:r w:rsidRPr="003C4C54">
        <w:rPr>
          <w:rFonts w:eastAsia="Times New Roman"/>
          <w:szCs w:val="20"/>
        </w:rPr>
        <w:t xml:space="preserve"> </w:t>
      </w:r>
      <w:r w:rsidRPr="003C4C54">
        <w:rPr>
          <w:rFonts w:eastAsiaTheme="minorEastAsia"/>
          <w:szCs w:val="20"/>
        </w:rPr>
        <w:t>постановлению администрации</w:t>
      </w:r>
      <w:r w:rsidRPr="003C4C54">
        <w:rPr>
          <w:rFonts w:eastAsia="Times New Roman"/>
          <w:szCs w:val="20"/>
        </w:rPr>
        <w:t xml:space="preserve"> </w:t>
      </w:r>
      <w:r w:rsidRPr="003C4C54">
        <w:rPr>
          <w:rFonts w:eastAsiaTheme="minorEastAsia"/>
          <w:szCs w:val="20"/>
        </w:rPr>
        <w:t xml:space="preserve">МО Камлакское сельское поселение </w:t>
      </w:r>
    </w:p>
    <w:p w:rsidR="003C4C54" w:rsidRPr="003C4C54" w:rsidRDefault="003C4C54" w:rsidP="003C4C54">
      <w:pPr>
        <w:autoSpaceDE w:val="0"/>
        <w:autoSpaceDN w:val="0"/>
        <w:spacing w:after="295" w:line="238" w:lineRule="auto"/>
        <w:ind w:right="268" w:firstLine="0"/>
        <w:jc w:val="left"/>
        <w:rPr>
          <w:rFonts w:eastAsiaTheme="minorEastAsia"/>
          <w:sz w:val="20"/>
          <w:szCs w:val="20"/>
        </w:rPr>
      </w:pPr>
      <w:r w:rsidRPr="003C4C54">
        <w:rPr>
          <w:rFonts w:eastAsiaTheme="minorEastAsia"/>
          <w:szCs w:val="20"/>
        </w:rPr>
        <w:t xml:space="preserve">                                                                                               от</w:t>
      </w:r>
      <w:r w:rsidRPr="003C4C54">
        <w:rPr>
          <w:rFonts w:eastAsia="Times New Roman"/>
          <w:szCs w:val="20"/>
        </w:rPr>
        <w:t xml:space="preserve"> «</w:t>
      </w:r>
      <w:r>
        <w:rPr>
          <w:rFonts w:eastAsia="Times New Roman"/>
          <w:szCs w:val="20"/>
        </w:rPr>
        <w:t>19</w:t>
      </w:r>
      <w:r w:rsidRPr="003C4C54">
        <w:rPr>
          <w:rFonts w:eastAsia="Times New Roman"/>
          <w:szCs w:val="20"/>
        </w:rPr>
        <w:t xml:space="preserve">» </w:t>
      </w:r>
      <w:r>
        <w:rPr>
          <w:rFonts w:eastAsiaTheme="minorEastAsia"/>
          <w:szCs w:val="20"/>
        </w:rPr>
        <w:t xml:space="preserve">апреля </w:t>
      </w:r>
      <w:r w:rsidRPr="003C4C54">
        <w:rPr>
          <w:rFonts w:eastAsia="Times New Roman"/>
          <w:szCs w:val="20"/>
        </w:rPr>
        <w:t xml:space="preserve">2022 </w:t>
      </w:r>
      <w:r w:rsidRPr="003C4C54">
        <w:rPr>
          <w:rFonts w:eastAsiaTheme="minorEastAsia"/>
          <w:szCs w:val="20"/>
        </w:rPr>
        <w:t>года</w:t>
      </w:r>
      <w:r w:rsidRPr="003C4C54">
        <w:rPr>
          <w:rFonts w:eastAsia="Times New Roman"/>
          <w:szCs w:val="20"/>
        </w:rPr>
        <w:t xml:space="preserve"> </w:t>
      </w:r>
      <w:r w:rsidRPr="003C4C54">
        <w:rPr>
          <w:rFonts w:eastAsiaTheme="minorEastAsia"/>
          <w:szCs w:val="20"/>
        </w:rPr>
        <w:t xml:space="preserve">№ </w:t>
      </w:r>
      <w:r>
        <w:rPr>
          <w:rFonts w:eastAsiaTheme="minorEastAsia"/>
          <w:szCs w:val="20"/>
        </w:rPr>
        <w:t>9</w:t>
      </w:r>
    </w:p>
    <w:p w:rsidR="00616E28" w:rsidRDefault="00616E28" w:rsidP="00265D62">
      <w:pPr>
        <w:ind w:firstLine="0"/>
        <w:jc w:val="both"/>
        <w:rPr>
          <w:szCs w:val="28"/>
        </w:rPr>
      </w:pPr>
    </w:p>
    <w:p w:rsidR="00616E28" w:rsidRPr="005B05C4" w:rsidRDefault="00616E28" w:rsidP="00616E28">
      <w:pPr>
        <w:shd w:val="clear" w:color="auto" w:fill="FFFFFF"/>
        <w:rPr>
          <w:rFonts w:ascii="YS Text" w:hAnsi="YS Text"/>
          <w:b/>
          <w:color w:val="000000"/>
          <w:sz w:val="28"/>
          <w:szCs w:val="28"/>
        </w:rPr>
      </w:pPr>
      <w:r w:rsidRPr="005B05C4">
        <w:rPr>
          <w:rFonts w:ascii="YS Text" w:hAnsi="YS Text"/>
          <w:b/>
          <w:color w:val="000000"/>
          <w:sz w:val="28"/>
          <w:szCs w:val="28"/>
        </w:rPr>
        <w:t>ПОРЯДОК</w:t>
      </w:r>
    </w:p>
    <w:p w:rsidR="00616E28" w:rsidRDefault="00616E28" w:rsidP="00616E28">
      <w:pPr>
        <w:shd w:val="clear" w:color="auto" w:fill="FFFFFF"/>
        <w:rPr>
          <w:rFonts w:ascii="YS Text" w:hAnsi="YS Text"/>
          <w:b/>
          <w:color w:val="000000"/>
          <w:sz w:val="28"/>
          <w:szCs w:val="28"/>
        </w:rPr>
      </w:pPr>
      <w:r w:rsidRPr="005B05C4">
        <w:rPr>
          <w:rFonts w:ascii="YS Text" w:hAnsi="YS Text"/>
          <w:b/>
          <w:color w:val="000000"/>
          <w:sz w:val="28"/>
          <w:szCs w:val="28"/>
        </w:rPr>
        <w:t>казн</w:t>
      </w:r>
      <w:r w:rsidR="002A6699">
        <w:rPr>
          <w:rFonts w:ascii="YS Text" w:hAnsi="YS Text"/>
          <w:b/>
          <w:color w:val="000000"/>
          <w:sz w:val="28"/>
          <w:szCs w:val="28"/>
        </w:rPr>
        <w:t>ачейского сопровождения средств</w:t>
      </w:r>
    </w:p>
    <w:p w:rsidR="00616E28" w:rsidRDefault="00616E28" w:rsidP="00616E28">
      <w:pPr>
        <w:shd w:val="clear" w:color="auto" w:fill="FFFFFF"/>
        <w:rPr>
          <w:rFonts w:ascii="YS Text" w:hAnsi="YS Text"/>
          <w:b/>
          <w:color w:val="000000"/>
          <w:sz w:val="28"/>
          <w:szCs w:val="28"/>
        </w:rPr>
      </w:pPr>
    </w:p>
    <w:p w:rsidR="00616E28" w:rsidRP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>1.</w:t>
      </w:r>
      <w:r w:rsidRPr="00616E28">
        <w:rPr>
          <w:rFonts w:ascii="YS Text" w:hAnsi="YS Text"/>
          <w:color w:val="000000"/>
          <w:sz w:val="28"/>
          <w:szCs w:val="28"/>
        </w:rPr>
        <w:t>Настоящий Порядок устанавливает порядок осуществления сельской администрации МО Камлакского сельского поселения казначейского сопровождения средств, определенных на текущий финансовый год и плановый период в соответствии со статьей 242,26 Бюджетного кодекса РФ, получаемых (полученных) участниками казначейского сопровождения из местного бюджета (далее-целевые средства, участник казначейского сопровождения) на основании: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>-муниципальных контрактов о поставке товаров, выполнении работ, оказании услуг (далее - муниципальные контракты);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>-договоров (соглашений) о предоставлении субсидий, договоров о предоставлении бюджетных инвестиций в соответствии со статьей 80 Бюджетного кодекса РФ,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обеспечения исполнения которых являются субсидии и бюджетные инвестиции, указанные в настоящем абзаце (далее-договоры (соглашения);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>-контрактов (договоров) о поставке товаров, выполнение работ, оказание услуг, источником финансового обеспечения исполнения обязательств по которым являются средства, предоставленные в рамках исполнения муниципальных контрактов, договоров (соглашений), указанных в абзацах втором и третьем настоящего пункта (далее- контракт (договор).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>2.     Положения настоящего Порядка, касающиеся договоров (соглашений), контрактов (договоров), распространяются на концессионные соглашения, соглашения о государственно-частном партнерстве, контракты (договоры), источником финансового обеспечения которых являются указанные соглашения, если федеральными законами или решениями Правительства РФ, предусмотренными подпунктом 2 пункта1 статьи 242.26 Бюджетного кодекса РФ, установлены требования об осуществлении казначейского сопровождения целевых средств, предоставляемых на основании таких соглашений.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>3.</w:t>
      </w:r>
      <w:r w:rsidR="002A6699">
        <w:rPr>
          <w:rFonts w:ascii="YS Text" w:hAnsi="YS Text"/>
          <w:color w:val="000000"/>
          <w:sz w:val="28"/>
          <w:szCs w:val="28"/>
        </w:rPr>
        <w:t>М</w:t>
      </w:r>
      <w:r>
        <w:rPr>
          <w:rFonts w:ascii="YS Text" w:hAnsi="YS Text"/>
          <w:color w:val="000000"/>
          <w:sz w:val="28"/>
          <w:szCs w:val="28"/>
        </w:rPr>
        <w:t>униципальные контракты, договоры (соглашения), контракты (договоры) должны содержать в том числе положения: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 xml:space="preserve">- об открытии в финансово-экономический отдел администрации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порядком открытия лицевых </w:t>
      </w:r>
      <w:r>
        <w:rPr>
          <w:rFonts w:ascii="YS Text" w:hAnsi="YS Text"/>
          <w:color w:val="000000"/>
          <w:sz w:val="28"/>
          <w:szCs w:val="28"/>
        </w:rPr>
        <w:lastRenderedPageBreak/>
        <w:t>счетов финансово-экономическим отделом администрации участникам казначейского сопровождения, установленном финансово-экономическим отделом администрации;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>- о предоставлении в финансово-экономический отдел администрации документов, установленных порядком осуществления финансово-экономическим отделом санкционирования операций со средствами участников казначейского сопровождении целевых средств, утвержденным финансово-экономическим отделом администрации в соответствии с пунктом 5 статьи 242.23 Бюджетного кодекса РФ (далее-порядок санкционирования);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>-об указании в контрактах (договорах), распоряжениях, а также документах, установленных порядком санкционирования, идентификатора муниципального контракта, договора 9соглашения) о предоставлении субсидий, договоров о предоставлении бюджетных инвестиций в соответствии со статьей 80 Бюджетного кодекса РФ, сформированного в порядке, установленном Министерством финансов РФ;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>-о ведении раздельного учета результатов финансово-хозяйственной деятельности по каждому муниципальному контракту, договору (соглашению), контракту (договору) в соответствии с порядком, установленным правительством РФ;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>-о формировании в установленных Правительством РФ случаях информации о структуре цены муниципального контракта, контракта (договора), суммы средств, предусмотренной договором (соглашением) в порядке и по форме, установленным Министерством финансов РФ;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>- о соблюдении запретов на перечисление средств с лицевого счета, предназначенного для учета операций со средствами участников казначейского сопровождения, установленных пунктом 3 статьи 242.23 Бюджетного кодекса РФ;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 xml:space="preserve">- </w:t>
      </w:r>
      <w:r w:rsidRPr="003A435B">
        <w:rPr>
          <w:color w:val="000000"/>
          <w:sz w:val="28"/>
          <w:szCs w:val="28"/>
        </w:rPr>
        <w:t>о соблюдении</w:t>
      </w:r>
      <w:r>
        <w:rPr>
          <w:rFonts w:ascii="YS Text" w:hAnsi="YS Text"/>
          <w:color w:val="000000"/>
          <w:sz w:val="28"/>
          <w:szCs w:val="28"/>
        </w:rPr>
        <w:t>, в случаях и порядке, установленными Правительством РФ, положений по расширенному казначейскому сопровождению в соответствии со статьей 242.24 Бюджетного кодекса РФ;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>4. Операции с целевыми средствами участника казначейского сопровождения осуществляются на казначейском счете для осуществления и отражения операций с денежными средствами участников казначейского сопровождения, открываемом в управлении федерального казначейства, на лицевом счете участника казначейского сопровождения (далее-лицевой счет), открываемом в порядке, установленном фи</w:t>
      </w:r>
      <w:bookmarkStart w:id="0" w:name="_GoBack"/>
      <w:bookmarkEnd w:id="0"/>
      <w:r>
        <w:rPr>
          <w:rFonts w:ascii="YS Text" w:hAnsi="YS Text"/>
          <w:color w:val="000000"/>
          <w:sz w:val="28"/>
          <w:szCs w:val="28"/>
        </w:rPr>
        <w:t>нансово-экономическим отделом.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 xml:space="preserve">5. При открытии в финансово-экономическом отделе администрации лицевых счетов и осуществлении операций на указанных счетах управлением федерального казначейства осуществляется проведение </w:t>
      </w:r>
      <w:r>
        <w:rPr>
          <w:rFonts w:ascii="YS Text" w:hAnsi="YS Text" w:hint="eastAsia"/>
          <w:color w:val="000000"/>
          <w:sz w:val="28"/>
          <w:szCs w:val="28"/>
        </w:rPr>
        <w:t>бюджетного</w:t>
      </w:r>
      <w:r>
        <w:rPr>
          <w:rFonts w:ascii="YS Text" w:hAnsi="YS Text"/>
          <w:color w:val="000000"/>
          <w:sz w:val="28"/>
          <w:szCs w:val="28"/>
        </w:rPr>
        <w:t xml:space="preserve"> мониторинга в порядке, </w:t>
      </w:r>
      <w:r w:rsidR="002A6699">
        <w:rPr>
          <w:rFonts w:ascii="YS Text" w:hAnsi="YS Text"/>
          <w:color w:val="000000"/>
          <w:sz w:val="28"/>
          <w:szCs w:val="28"/>
        </w:rPr>
        <w:t>установленном Правительством</w:t>
      </w:r>
      <w:r>
        <w:rPr>
          <w:rFonts w:ascii="YS Text" w:hAnsi="YS Text"/>
          <w:color w:val="000000"/>
          <w:sz w:val="28"/>
          <w:szCs w:val="28"/>
        </w:rPr>
        <w:t xml:space="preserve"> РФ в соответствии со статьей 242.13-1 Бюджетного кодекса РФ.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 xml:space="preserve">6. Операции с целевыми средствами, отраженными на лицевых счетах, проводятся после осуществления финансово-экономическим отделом </w:t>
      </w:r>
      <w:r>
        <w:rPr>
          <w:rFonts w:ascii="YS Text" w:hAnsi="YS Text"/>
          <w:color w:val="000000"/>
          <w:sz w:val="28"/>
          <w:szCs w:val="28"/>
        </w:rPr>
        <w:lastRenderedPageBreak/>
        <w:t>администрации санкционирования расходов в соответствии с порядком санкционирования.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>7. при казначейском сопровождении ведении и использование лицевого счета (режим лицевого счета), на котором осуществляются операции, указанные в пункте 4 настоящего Порядка, участники казначейского сопровождения обязаны соблюдать требования, предусмотренные пунктом 3 статьи 242.23 Бюджетного кодекса РФ, устанавливающие запрет на перечисление средств с лицевого счета.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>8.</w:t>
      </w:r>
      <w:r w:rsidRPr="002C3F41">
        <w:rPr>
          <w:rFonts w:ascii="YS Text" w:hAnsi="YS Text"/>
          <w:color w:val="000000"/>
          <w:sz w:val="28"/>
          <w:szCs w:val="28"/>
        </w:rPr>
        <w:t xml:space="preserve"> </w:t>
      </w:r>
      <w:r>
        <w:rPr>
          <w:rFonts w:ascii="YS Text" w:hAnsi="YS Text"/>
          <w:color w:val="000000"/>
          <w:sz w:val="28"/>
          <w:szCs w:val="28"/>
        </w:rPr>
        <w:t>Финансово-</w:t>
      </w:r>
      <w:r w:rsidR="002A6699">
        <w:rPr>
          <w:rFonts w:ascii="YS Text" w:hAnsi="YS Text"/>
          <w:color w:val="000000"/>
          <w:sz w:val="28"/>
          <w:szCs w:val="28"/>
        </w:rPr>
        <w:t>экономический отдел</w:t>
      </w:r>
      <w:r>
        <w:rPr>
          <w:rFonts w:ascii="YS Text" w:hAnsi="YS Text"/>
          <w:color w:val="000000"/>
          <w:sz w:val="28"/>
          <w:szCs w:val="28"/>
        </w:rPr>
        <w:t xml:space="preserve"> администрации осуществляет расширенное казначейское сопровождение целевых средств в случаях и в порядке, установленными правилами расширенного казначейского сопровождения, утвержденными Постановлением Правительства РФ от 24.11.2021 года №2024 </w:t>
      </w:r>
      <w:r>
        <w:rPr>
          <w:rFonts w:ascii="YS Text" w:hAnsi="YS Text" w:hint="eastAsia"/>
          <w:color w:val="000000"/>
          <w:sz w:val="28"/>
          <w:szCs w:val="28"/>
        </w:rPr>
        <w:t>«</w:t>
      </w:r>
      <w:r>
        <w:rPr>
          <w:rFonts w:ascii="YS Text" w:hAnsi="YS Text"/>
          <w:color w:val="000000"/>
          <w:sz w:val="28"/>
          <w:szCs w:val="28"/>
        </w:rPr>
        <w:t>О правилах казначейского сопровождения</w:t>
      </w:r>
      <w:r>
        <w:rPr>
          <w:rFonts w:ascii="YS Text" w:hAnsi="YS Text" w:hint="eastAsia"/>
          <w:color w:val="000000"/>
          <w:sz w:val="28"/>
          <w:szCs w:val="28"/>
        </w:rPr>
        <w:t>»</w:t>
      </w:r>
      <w:r>
        <w:rPr>
          <w:rFonts w:ascii="YS Text" w:hAnsi="YS Text"/>
          <w:color w:val="000000"/>
          <w:sz w:val="28"/>
          <w:szCs w:val="28"/>
        </w:rPr>
        <w:t>.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>9.</w:t>
      </w:r>
      <w:r w:rsidRPr="002C3F41">
        <w:rPr>
          <w:rFonts w:ascii="YS Text" w:hAnsi="YS Text"/>
          <w:color w:val="000000"/>
          <w:sz w:val="28"/>
          <w:szCs w:val="28"/>
        </w:rPr>
        <w:t xml:space="preserve"> </w:t>
      </w:r>
      <w:r>
        <w:rPr>
          <w:rFonts w:ascii="YS Text" w:hAnsi="YS Text"/>
          <w:color w:val="000000"/>
          <w:sz w:val="28"/>
          <w:szCs w:val="28"/>
        </w:rPr>
        <w:t>Казначейское сопровождение целевых средств, предоставляемых на основании муниципальных контрактов, договоров (соглашений), контрактов (договоров</w:t>
      </w:r>
      <w:r w:rsidR="002A6699">
        <w:rPr>
          <w:rFonts w:ascii="YS Text" w:hAnsi="YS Text"/>
          <w:color w:val="000000"/>
          <w:sz w:val="28"/>
          <w:szCs w:val="28"/>
        </w:rPr>
        <w:t>), содержащи</w:t>
      </w:r>
      <w:r w:rsidR="002A6699">
        <w:rPr>
          <w:rFonts w:ascii="YS Text" w:hAnsi="YS Text" w:hint="eastAsia"/>
          <w:color w:val="000000"/>
          <w:sz w:val="28"/>
          <w:szCs w:val="28"/>
        </w:rPr>
        <w:t>х</w:t>
      </w:r>
      <w:r>
        <w:rPr>
          <w:rFonts w:ascii="YS Text" w:hAnsi="YS Text"/>
          <w:color w:val="000000"/>
          <w:sz w:val="28"/>
          <w:szCs w:val="28"/>
        </w:rPr>
        <w:t xml:space="preserve"> сведения, составляющие государственную тайну или относимые к охраняемой в соответствии с законодательством РФ иной информации ограниченного доступа (далее-сведения, составляющие государственную тайну), осуществляется с соблюдением требований, установленных законодательством РФ о защите государственной и иной охраняемой законом тайны.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>10. П</w:t>
      </w:r>
      <w:r>
        <w:rPr>
          <w:rFonts w:ascii="YS Text" w:hAnsi="YS Text" w:hint="eastAsia"/>
          <w:color w:val="000000"/>
          <w:sz w:val="28"/>
          <w:szCs w:val="28"/>
        </w:rPr>
        <w:t>р</w:t>
      </w:r>
      <w:r>
        <w:rPr>
          <w:rFonts w:ascii="YS Text" w:hAnsi="YS Text"/>
          <w:color w:val="000000"/>
          <w:sz w:val="28"/>
          <w:szCs w:val="28"/>
        </w:rPr>
        <w:t>и казначейском сопровождении обмен документами между финансово-экономическим отделом администрации, получателем средств местного бюджета, дл</w:t>
      </w:r>
      <w:r w:rsidR="002A6699">
        <w:rPr>
          <w:rFonts w:ascii="YS Text" w:hAnsi="YS Text"/>
          <w:color w:val="000000"/>
          <w:sz w:val="28"/>
          <w:szCs w:val="28"/>
        </w:rPr>
        <w:t>я</w:t>
      </w:r>
      <w:r>
        <w:rPr>
          <w:rFonts w:ascii="YS Text" w:hAnsi="YS Text"/>
          <w:color w:val="000000"/>
          <w:sz w:val="28"/>
          <w:szCs w:val="28"/>
        </w:rPr>
        <w:t xml:space="preserve"> которого доведены лимиты бюджетных обязательств на предоставление субсидий или бюджетных инвестиций (далее-получатель бюджетных средств), на заключение муниципальных контрактов, и участником казначейского сопровождения осуществляется с применением усиленной квалифицированной электронной подписи лица, уполномоченного действовать от имени получателя бюджетных средств, муниципального заказчика или участника казначейского сопровождения (далее-электронная подпись).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 xml:space="preserve">   В случае обмена документами, содержащими сведения, составляющие государственную тайну, а также 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предоставлением документов на машинном носителе. Представление и хранение документов, предусмотренных настоящим Порядком, содержащих сведения, составляющие государственную тайну, осуществляется </w:t>
      </w:r>
      <w:r w:rsidR="002A6699">
        <w:rPr>
          <w:rFonts w:ascii="YS Text" w:hAnsi="YS Text"/>
          <w:color w:val="000000"/>
          <w:sz w:val="28"/>
          <w:szCs w:val="28"/>
        </w:rPr>
        <w:t>с соблюдением требований</w:t>
      </w:r>
      <w:r>
        <w:rPr>
          <w:rFonts w:ascii="YS Text" w:hAnsi="YS Text"/>
          <w:color w:val="000000"/>
          <w:sz w:val="28"/>
          <w:szCs w:val="28"/>
        </w:rPr>
        <w:t>, установленных законодательством РФ о защите государственной и иной охраняемой законом тайны.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 xml:space="preserve">11. Информация  о муниципальных контрактах, договорах, соглашениях, о лицевых счетах и об операциях по зачислению и списанию целевых средств, отраженных на лицевых счетах, в порядке, установленном Федеральным </w:t>
      </w:r>
      <w:r>
        <w:rPr>
          <w:rFonts w:ascii="YS Text" w:hAnsi="YS Text"/>
          <w:color w:val="000000"/>
          <w:sz w:val="28"/>
          <w:szCs w:val="28"/>
        </w:rPr>
        <w:lastRenderedPageBreak/>
        <w:t xml:space="preserve">казначейством, ежедневно ( в рабочие дни) предоставляется финансово-экономическим отделом администрации в подсистему информационно-аналитического обеспечения государственной интегрированной информационной системы управления общественными финансами </w:t>
      </w:r>
      <w:r>
        <w:rPr>
          <w:rFonts w:ascii="YS Text" w:hAnsi="YS Text" w:hint="eastAsia"/>
          <w:color w:val="000000"/>
          <w:sz w:val="28"/>
          <w:szCs w:val="28"/>
        </w:rPr>
        <w:t>«</w:t>
      </w:r>
      <w:r>
        <w:rPr>
          <w:rFonts w:ascii="YS Text" w:hAnsi="YS Text"/>
          <w:color w:val="000000"/>
          <w:sz w:val="28"/>
          <w:szCs w:val="28"/>
        </w:rPr>
        <w:t>Электронный бюджет</w:t>
      </w:r>
      <w:r>
        <w:rPr>
          <w:rFonts w:ascii="YS Text" w:hAnsi="YS Text" w:hint="eastAsia"/>
          <w:color w:val="000000"/>
          <w:sz w:val="28"/>
          <w:szCs w:val="28"/>
        </w:rPr>
        <w:t>»</w:t>
      </w:r>
      <w:r>
        <w:rPr>
          <w:rFonts w:ascii="YS Text" w:hAnsi="YS Text"/>
          <w:color w:val="000000"/>
          <w:sz w:val="28"/>
          <w:szCs w:val="28"/>
        </w:rPr>
        <w:t>, оператором которой является Федеральное казначейство.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  <w:r>
        <w:rPr>
          <w:rFonts w:ascii="YS Text" w:hAnsi="YS Text"/>
          <w:color w:val="000000"/>
          <w:sz w:val="28"/>
          <w:szCs w:val="28"/>
        </w:rPr>
        <w:t>12.Операции по списанию целевых средств, источником финансового обеспечения которых являются субсидии, предоставляемые участникам казначейского сопровождения, осуществляются не позднее 2-го рабочего дня, следующего за днем представления участником казначейского сопровождения в финансово-экономический отдел администрации распоряжений для оплаты денежных обязательств участника казначейского сопровождения после их проверки в соответствии с порядком санкционирования.</w:t>
      </w:r>
    </w:p>
    <w:p w:rsidR="00616E28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</w:p>
    <w:p w:rsidR="00616E28" w:rsidRPr="005B05C4" w:rsidRDefault="00616E28" w:rsidP="00616E28">
      <w:pPr>
        <w:shd w:val="clear" w:color="auto" w:fill="FFFFFF"/>
        <w:jc w:val="both"/>
        <w:rPr>
          <w:rFonts w:ascii="YS Text" w:hAnsi="YS Text"/>
          <w:color w:val="000000"/>
          <w:sz w:val="28"/>
          <w:szCs w:val="28"/>
        </w:rPr>
      </w:pPr>
    </w:p>
    <w:p w:rsidR="00616E28" w:rsidRDefault="00616E28" w:rsidP="00616E28">
      <w:pPr>
        <w:rPr>
          <w:sz w:val="28"/>
          <w:szCs w:val="28"/>
        </w:rPr>
      </w:pPr>
    </w:p>
    <w:p w:rsidR="00616E28" w:rsidRDefault="00616E28" w:rsidP="00616E28">
      <w:pPr>
        <w:rPr>
          <w:sz w:val="28"/>
          <w:szCs w:val="28"/>
        </w:rPr>
      </w:pPr>
    </w:p>
    <w:p w:rsidR="00616E28" w:rsidRDefault="00616E28" w:rsidP="00616E28">
      <w:pPr>
        <w:rPr>
          <w:sz w:val="28"/>
          <w:szCs w:val="28"/>
        </w:rPr>
      </w:pPr>
    </w:p>
    <w:p w:rsidR="00616E28" w:rsidRDefault="00616E28" w:rsidP="00616E28">
      <w:pPr>
        <w:rPr>
          <w:sz w:val="28"/>
          <w:szCs w:val="28"/>
        </w:rPr>
      </w:pPr>
    </w:p>
    <w:p w:rsidR="00616E28" w:rsidRDefault="00616E28" w:rsidP="00616E28">
      <w:pPr>
        <w:rPr>
          <w:sz w:val="28"/>
          <w:szCs w:val="28"/>
        </w:rPr>
      </w:pPr>
    </w:p>
    <w:p w:rsidR="00616E28" w:rsidRDefault="00616E28" w:rsidP="00616E28">
      <w:pPr>
        <w:rPr>
          <w:sz w:val="28"/>
          <w:szCs w:val="28"/>
        </w:rPr>
      </w:pPr>
    </w:p>
    <w:p w:rsidR="00616E28" w:rsidRDefault="00616E28" w:rsidP="00616E28">
      <w:pPr>
        <w:rPr>
          <w:sz w:val="28"/>
          <w:szCs w:val="28"/>
        </w:rPr>
      </w:pPr>
    </w:p>
    <w:p w:rsidR="00616E28" w:rsidRPr="005242F1" w:rsidRDefault="00616E28" w:rsidP="00265D62">
      <w:pPr>
        <w:ind w:firstLine="0"/>
        <w:jc w:val="both"/>
        <w:rPr>
          <w:szCs w:val="28"/>
        </w:rPr>
      </w:pPr>
    </w:p>
    <w:sectPr w:rsidR="00616E28" w:rsidRPr="005242F1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602" w:rsidRDefault="00DE7602" w:rsidP="005E6246">
      <w:r>
        <w:separator/>
      </w:r>
    </w:p>
  </w:endnote>
  <w:endnote w:type="continuationSeparator" w:id="0">
    <w:p w:rsidR="00DE7602" w:rsidRDefault="00DE7602" w:rsidP="005E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602" w:rsidRDefault="00DE7602" w:rsidP="005E6246">
      <w:r>
        <w:separator/>
      </w:r>
    </w:p>
  </w:footnote>
  <w:footnote w:type="continuationSeparator" w:id="0">
    <w:p w:rsidR="00DE7602" w:rsidRDefault="00DE7602" w:rsidP="005E6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4F2" w:rsidRDefault="00D704F2">
    <w:pPr>
      <w:pStyle w:val="a3"/>
    </w:pPr>
  </w:p>
  <w:p w:rsidR="00D704F2" w:rsidRPr="00C57C2D" w:rsidRDefault="00CE31B9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3A435B">
      <w:rPr>
        <w:noProof/>
        <w:sz w:val="28"/>
      </w:rPr>
      <w:t>5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 w15:restartNumberingAfterBreak="0">
    <w:nsid w:val="091E63F0"/>
    <w:multiLevelType w:val="hybridMultilevel"/>
    <w:tmpl w:val="153E7242"/>
    <w:lvl w:ilvl="0" w:tplc="A67431AC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C1CB2"/>
    <w:multiLevelType w:val="hybridMultilevel"/>
    <w:tmpl w:val="3028C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7DC6C0A"/>
    <w:multiLevelType w:val="hybridMultilevel"/>
    <w:tmpl w:val="DB0E2810"/>
    <w:lvl w:ilvl="0" w:tplc="C4AECD0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9" w15:restartNumberingAfterBreak="0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E0368CF"/>
    <w:multiLevelType w:val="hybridMultilevel"/>
    <w:tmpl w:val="3586D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6"/>
  </w:num>
  <w:num w:numId="2">
    <w:abstractNumId w:val="13"/>
  </w:num>
  <w:num w:numId="3">
    <w:abstractNumId w:val="12"/>
  </w:num>
  <w:num w:numId="4">
    <w:abstractNumId w:val="14"/>
  </w:num>
  <w:num w:numId="5">
    <w:abstractNumId w:val="8"/>
  </w:num>
  <w:num w:numId="6">
    <w:abstractNumId w:val="1"/>
  </w:num>
  <w:num w:numId="7">
    <w:abstractNumId w:val="9"/>
  </w:num>
  <w:num w:numId="8">
    <w:abstractNumId w:val="11"/>
  </w:num>
  <w:num w:numId="9">
    <w:abstractNumId w:val="4"/>
  </w:num>
  <w:num w:numId="10">
    <w:abstractNumId w:val="7"/>
  </w:num>
  <w:num w:numId="11">
    <w:abstractNumId w:val="0"/>
  </w:num>
  <w:num w:numId="12">
    <w:abstractNumId w:val="5"/>
  </w:num>
  <w:num w:numId="13">
    <w:abstractNumId w:val="2"/>
  </w:num>
  <w:num w:numId="14">
    <w:abstractNumId w:val="1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16D"/>
    <w:rsid w:val="00001B60"/>
    <w:rsid w:val="00002416"/>
    <w:rsid w:val="00003FCE"/>
    <w:rsid w:val="000047D9"/>
    <w:rsid w:val="00005612"/>
    <w:rsid w:val="00005AB1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032D"/>
    <w:rsid w:val="000612FD"/>
    <w:rsid w:val="0006494F"/>
    <w:rsid w:val="00065B92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6F7F"/>
    <w:rsid w:val="000B76B5"/>
    <w:rsid w:val="000C0DAA"/>
    <w:rsid w:val="000C10D0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01"/>
    <w:rsid w:val="000F7455"/>
    <w:rsid w:val="00100096"/>
    <w:rsid w:val="0010078B"/>
    <w:rsid w:val="00107E5C"/>
    <w:rsid w:val="0011082F"/>
    <w:rsid w:val="00113C8C"/>
    <w:rsid w:val="00117C8E"/>
    <w:rsid w:val="00121FD8"/>
    <w:rsid w:val="00123741"/>
    <w:rsid w:val="0012384D"/>
    <w:rsid w:val="00125F3B"/>
    <w:rsid w:val="001334CB"/>
    <w:rsid w:val="00134EA9"/>
    <w:rsid w:val="001354D2"/>
    <w:rsid w:val="00135B14"/>
    <w:rsid w:val="00136D87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161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2E35"/>
    <w:rsid w:val="001C369F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D7868"/>
    <w:rsid w:val="001E06D9"/>
    <w:rsid w:val="001E09B3"/>
    <w:rsid w:val="001E143D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5CA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5D62"/>
    <w:rsid w:val="00267C2B"/>
    <w:rsid w:val="00267C7F"/>
    <w:rsid w:val="00273EDE"/>
    <w:rsid w:val="00275ED4"/>
    <w:rsid w:val="0027701B"/>
    <w:rsid w:val="00280C47"/>
    <w:rsid w:val="002817A3"/>
    <w:rsid w:val="002838F7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969BF"/>
    <w:rsid w:val="002A117A"/>
    <w:rsid w:val="002A21F4"/>
    <w:rsid w:val="002A307C"/>
    <w:rsid w:val="002A3998"/>
    <w:rsid w:val="002A6699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2614"/>
    <w:rsid w:val="00366CAC"/>
    <w:rsid w:val="003671FA"/>
    <w:rsid w:val="00367341"/>
    <w:rsid w:val="0037046B"/>
    <w:rsid w:val="00373DC0"/>
    <w:rsid w:val="003761FF"/>
    <w:rsid w:val="003763A0"/>
    <w:rsid w:val="0037688B"/>
    <w:rsid w:val="00380455"/>
    <w:rsid w:val="003813EC"/>
    <w:rsid w:val="003827D5"/>
    <w:rsid w:val="00384235"/>
    <w:rsid w:val="00386C9C"/>
    <w:rsid w:val="00387A3B"/>
    <w:rsid w:val="0039188E"/>
    <w:rsid w:val="00392FC2"/>
    <w:rsid w:val="00393057"/>
    <w:rsid w:val="00393FB9"/>
    <w:rsid w:val="003A015E"/>
    <w:rsid w:val="003A16B4"/>
    <w:rsid w:val="003A1B40"/>
    <w:rsid w:val="003A2182"/>
    <w:rsid w:val="003A2F95"/>
    <w:rsid w:val="003A435B"/>
    <w:rsid w:val="003A4393"/>
    <w:rsid w:val="003A465B"/>
    <w:rsid w:val="003A5E24"/>
    <w:rsid w:val="003B19DF"/>
    <w:rsid w:val="003B1C30"/>
    <w:rsid w:val="003B50B7"/>
    <w:rsid w:val="003B57B1"/>
    <w:rsid w:val="003C20F9"/>
    <w:rsid w:val="003C40D2"/>
    <w:rsid w:val="003C4573"/>
    <w:rsid w:val="003C4C54"/>
    <w:rsid w:val="003C5FFF"/>
    <w:rsid w:val="003C6110"/>
    <w:rsid w:val="003C7051"/>
    <w:rsid w:val="003D09DE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05119"/>
    <w:rsid w:val="00411410"/>
    <w:rsid w:val="00413F60"/>
    <w:rsid w:val="004246B7"/>
    <w:rsid w:val="00425485"/>
    <w:rsid w:val="0042618D"/>
    <w:rsid w:val="00426C38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726E"/>
    <w:rsid w:val="00467454"/>
    <w:rsid w:val="00467948"/>
    <w:rsid w:val="00470141"/>
    <w:rsid w:val="0047161F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4E68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748D"/>
    <w:rsid w:val="00505E72"/>
    <w:rsid w:val="00510C61"/>
    <w:rsid w:val="00511141"/>
    <w:rsid w:val="00511EB2"/>
    <w:rsid w:val="00515880"/>
    <w:rsid w:val="0052019E"/>
    <w:rsid w:val="00520A9B"/>
    <w:rsid w:val="00520CE1"/>
    <w:rsid w:val="0052410A"/>
    <w:rsid w:val="0052411B"/>
    <w:rsid w:val="005242F1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247B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07565"/>
    <w:rsid w:val="006111B7"/>
    <w:rsid w:val="0061191C"/>
    <w:rsid w:val="00613EF0"/>
    <w:rsid w:val="0061448E"/>
    <w:rsid w:val="006145B9"/>
    <w:rsid w:val="0061534E"/>
    <w:rsid w:val="00616315"/>
    <w:rsid w:val="006168B7"/>
    <w:rsid w:val="00616E28"/>
    <w:rsid w:val="00617D59"/>
    <w:rsid w:val="0062579F"/>
    <w:rsid w:val="00625DE6"/>
    <w:rsid w:val="006261E8"/>
    <w:rsid w:val="00626436"/>
    <w:rsid w:val="00626F09"/>
    <w:rsid w:val="0062742B"/>
    <w:rsid w:val="0062761C"/>
    <w:rsid w:val="00632B0F"/>
    <w:rsid w:val="00633122"/>
    <w:rsid w:val="00634C10"/>
    <w:rsid w:val="00637436"/>
    <w:rsid w:val="006427E5"/>
    <w:rsid w:val="00643120"/>
    <w:rsid w:val="00644509"/>
    <w:rsid w:val="006518C9"/>
    <w:rsid w:val="00652672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1783"/>
    <w:rsid w:val="00672EA4"/>
    <w:rsid w:val="006811B9"/>
    <w:rsid w:val="006848C7"/>
    <w:rsid w:val="00687E21"/>
    <w:rsid w:val="00691D6F"/>
    <w:rsid w:val="00692705"/>
    <w:rsid w:val="00693AB7"/>
    <w:rsid w:val="00693E72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1E3A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5F55"/>
    <w:rsid w:val="006D676E"/>
    <w:rsid w:val="006D6BF4"/>
    <w:rsid w:val="006E1C78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0E5F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4BE6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4765"/>
    <w:rsid w:val="007B521F"/>
    <w:rsid w:val="007B6010"/>
    <w:rsid w:val="007B6723"/>
    <w:rsid w:val="007B7540"/>
    <w:rsid w:val="007B7DEF"/>
    <w:rsid w:val="007C1DCC"/>
    <w:rsid w:val="007C2039"/>
    <w:rsid w:val="007C2078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6F9F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021F"/>
    <w:rsid w:val="0081040F"/>
    <w:rsid w:val="00811C61"/>
    <w:rsid w:val="00811E8B"/>
    <w:rsid w:val="008127E9"/>
    <w:rsid w:val="0081289E"/>
    <w:rsid w:val="00814292"/>
    <w:rsid w:val="00814B50"/>
    <w:rsid w:val="008159B0"/>
    <w:rsid w:val="0081670A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5731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1870"/>
    <w:rsid w:val="008932F7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C7BDE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4ECA"/>
    <w:rsid w:val="008F6462"/>
    <w:rsid w:val="0090014E"/>
    <w:rsid w:val="009011EC"/>
    <w:rsid w:val="00902048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049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222D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56FE"/>
    <w:rsid w:val="009F69AD"/>
    <w:rsid w:val="00A00F6A"/>
    <w:rsid w:val="00A01248"/>
    <w:rsid w:val="00A036DA"/>
    <w:rsid w:val="00A05258"/>
    <w:rsid w:val="00A0530F"/>
    <w:rsid w:val="00A05433"/>
    <w:rsid w:val="00A05A1B"/>
    <w:rsid w:val="00A05F73"/>
    <w:rsid w:val="00A063FA"/>
    <w:rsid w:val="00A11593"/>
    <w:rsid w:val="00A11DC9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098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5137"/>
    <w:rsid w:val="00A67CAE"/>
    <w:rsid w:val="00A715FF"/>
    <w:rsid w:val="00A71671"/>
    <w:rsid w:val="00A728E7"/>
    <w:rsid w:val="00A74304"/>
    <w:rsid w:val="00A77F8A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B0119D"/>
    <w:rsid w:val="00B02356"/>
    <w:rsid w:val="00B02D0F"/>
    <w:rsid w:val="00B02DAA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5D3"/>
    <w:rsid w:val="00B16A7C"/>
    <w:rsid w:val="00B214D7"/>
    <w:rsid w:val="00B216DC"/>
    <w:rsid w:val="00B21C36"/>
    <w:rsid w:val="00B23F00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85F"/>
    <w:rsid w:val="00B5092F"/>
    <w:rsid w:val="00B52AA1"/>
    <w:rsid w:val="00B52BEA"/>
    <w:rsid w:val="00B54150"/>
    <w:rsid w:val="00B55A28"/>
    <w:rsid w:val="00B601BF"/>
    <w:rsid w:val="00B6641D"/>
    <w:rsid w:val="00B66AEB"/>
    <w:rsid w:val="00B700AB"/>
    <w:rsid w:val="00B7052A"/>
    <w:rsid w:val="00B723A0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135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0369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1FF1"/>
    <w:rsid w:val="00C3258A"/>
    <w:rsid w:val="00C338CC"/>
    <w:rsid w:val="00C34829"/>
    <w:rsid w:val="00C37BFE"/>
    <w:rsid w:val="00C40931"/>
    <w:rsid w:val="00C43145"/>
    <w:rsid w:val="00C45222"/>
    <w:rsid w:val="00C5181B"/>
    <w:rsid w:val="00C51B65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1C9D"/>
    <w:rsid w:val="00C75EAF"/>
    <w:rsid w:val="00C76FAE"/>
    <w:rsid w:val="00C8002D"/>
    <w:rsid w:val="00C82B41"/>
    <w:rsid w:val="00C83726"/>
    <w:rsid w:val="00C8373B"/>
    <w:rsid w:val="00C83F72"/>
    <w:rsid w:val="00C903D4"/>
    <w:rsid w:val="00C94C44"/>
    <w:rsid w:val="00CA1D7C"/>
    <w:rsid w:val="00CA35B1"/>
    <w:rsid w:val="00CB0162"/>
    <w:rsid w:val="00CB0289"/>
    <w:rsid w:val="00CB05DB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155B"/>
    <w:rsid w:val="00CE31B9"/>
    <w:rsid w:val="00CE4B3D"/>
    <w:rsid w:val="00CE4DEB"/>
    <w:rsid w:val="00CE504B"/>
    <w:rsid w:val="00CE6398"/>
    <w:rsid w:val="00CE780E"/>
    <w:rsid w:val="00CF17A7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6200"/>
    <w:rsid w:val="00D977A1"/>
    <w:rsid w:val="00DA2C28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3D09"/>
    <w:rsid w:val="00DD4874"/>
    <w:rsid w:val="00DD48C6"/>
    <w:rsid w:val="00DD4937"/>
    <w:rsid w:val="00DD606C"/>
    <w:rsid w:val="00DD75CB"/>
    <w:rsid w:val="00DD77B4"/>
    <w:rsid w:val="00DE1213"/>
    <w:rsid w:val="00DE184A"/>
    <w:rsid w:val="00DE1E5E"/>
    <w:rsid w:val="00DE4C2D"/>
    <w:rsid w:val="00DE4FE3"/>
    <w:rsid w:val="00DE6B36"/>
    <w:rsid w:val="00DE7602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6DC5"/>
    <w:rsid w:val="00E37B89"/>
    <w:rsid w:val="00E405E8"/>
    <w:rsid w:val="00E40E0E"/>
    <w:rsid w:val="00E41C13"/>
    <w:rsid w:val="00E42301"/>
    <w:rsid w:val="00E47FC0"/>
    <w:rsid w:val="00E500FF"/>
    <w:rsid w:val="00E50771"/>
    <w:rsid w:val="00E50992"/>
    <w:rsid w:val="00E531DE"/>
    <w:rsid w:val="00E61659"/>
    <w:rsid w:val="00E619BA"/>
    <w:rsid w:val="00E61AF8"/>
    <w:rsid w:val="00E6235E"/>
    <w:rsid w:val="00E62958"/>
    <w:rsid w:val="00E63914"/>
    <w:rsid w:val="00E65E0A"/>
    <w:rsid w:val="00E67AC2"/>
    <w:rsid w:val="00E67E05"/>
    <w:rsid w:val="00E741F2"/>
    <w:rsid w:val="00E76240"/>
    <w:rsid w:val="00E80C99"/>
    <w:rsid w:val="00E8681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5C50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00A1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2A49"/>
    <w:rsid w:val="00EF320B"/>
    <w:rsid w:val="00EF3D3F"/>
    <w:rsid w:val="00EF589F"/>
    <w:rsid w:val="00EF68BF"/>
    <w:rsid w:val="00F008E6"/>
    <w:rsid w:val="00F00A9E"/>
    <w:rsid w:val="00F01377"/>
    <w:rsid w:val="00F02DEC"/>
    <w:rsid w:val="00F05ACC"/>
    <w:rsid w:val="00F061E2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096B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4CE6"/>
    <w:rsid w:val="00F85A45"/>
    <w:rsid w:val="00F90276"/>
    <w:rsid w:val="00F91AF7"/>
    <w:rsid w:val="00F93E67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C48D1"/>
    <w:rsid w:val="00FC74EB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9D1A57"/>
  <w15:docId w15:val="{3B1B7558-1D45-4E54-9973-AD1B8EB04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EF2A49"/>
    <w:rPr>
      <w:spacing w:val="10"/>
      <w:sz w:val="47"/>
      <w:szCs w:val="47"/>
      <w:shd w:val="clear" w:color="auto" w:fill="FFFFFF"/>
    </w:rPr>
  </w:style>
  <w:style w:type="paragraph" w:customStyle="1" w:styleId="11">
    <w:name w:val="Заголовок №1"/>
    <w:basedOn w:val="a"/>
    <w:link w:val="10"/>
    <w:rsid w:val="00EF2A49"/>
    <w:pPr>
      <w:shd w:val="clear" w:color="auto" w:fill="FFFFFF"/>
      <w:spacing w:after="180" w:line="0" w:lineRule="atLeast"/>
      <w:ind w:firstLine="0"/>
      <w:jc w:val="left"/>
      <w:outlineLvl w:val="0"/>
    </w:pPr>
    <w:rPr>
      <w:rFonts w:eastAsia="Times New Roman"/>
      <w:spacing w:val="10"/>
      <w:sz w:val="47"/>
      <w:szCs w:val="47"/>
    </w:rPr>
  </w:style>
  <w:style w:type="paragraph" w:customStyle="1" w:styleId="12">
    <w:name w:val="Основной текст1"/>
    <w:basedOn w:val="a"/>
    <w:rsid w:val="00EF2A49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7E877-69B2-4331-8999-5512D4D86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5</Pages>
  <Words>1428</Words>
  <Characters>8141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9550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Администрация Камлак</cp:lastModifiedBy>
  <cp:revision>84</cp:revision>
  <cp:lastPrinted>2022-04-19T03:06:00Z</cp:lastPrinted>
  <dcterms:created xsi:type="dcterms:W3CDTF">2017-12-08T11:03:00Z</dcterms:created>
  <dcterms:modified xsi:type="dcterms:W3CDTF">2022-04-19T03:08:00Z</dcterms:modified>
</cp:coreProperties>
</file>