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156" w:rsidRPr="001D1FE8" w:rsidRDefault="001D1FE8" w:rsidP="008D1EC8">
      <w:pPr>
        <w:spacing w:line="276" w:lineRule="auto"/>
        <w:ind w:firstLine="567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 в налоговом закон</w:t>
      </w:r>
      <w:r w:rsidR="00684D1B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дательстве</w:t>
      </w:r>
    </w:p>
    <w:p w:rsidR="00773BDF" w:rsidRPr="008D1EC8" w:rsidRDefault="00BD2399" w:rsidP="008D1EC8">
      <w:pPr>
        <w:shd w:val="clear" w:color="auto" w:fill="FFFFFF"/>
        <w:spacing w:before="240" w:after="240"/>
        <w:ind w:firstLine="567"/>
        <w:jc w:val="both"/>
        <w:rPr>
          <w:rFonts w:eastAsia="Times New Roman"/>
          <w:color w:val="0F1115"/>
          <w:sz w:val="28"/>
          <w:szCs w:val="28"/>
        </w:rPr>
      </w:pPr>
      <w:r w:rsidRPr="008D1EC8">
        <w:rPr>
          <w:rFonts w:eastAsia="Times New Roman"/>
          <w:color w:val="0F1115"/>
          <w:sz w:val="28"/>
          <w:szCs w:val="28"/>
        </w:rPr>
        <w:t xml:space="preserve">С 1 апреля и до конца 2026 года предприятия общепита на УСН (ООО и ИП), </w:t>
      </w:r>
      <w:r w:rsidR="003307AD" w:rsidRPr="008D1EC8">
        <w:rPr>
          <w:rFonts w:eastAsia="Times New Roman"/>
          <w:color w:val="0F1115"/>
          <w:sz w:val="28"/>
          <w:szCs w:val="28"/>
        </w:rPr>
        <w:t xml:space="preserve">у </w:t>
      </w:r>
      <w:r w:rsidRPr="008D1EC8">
        <w:rPr>
          <w:rFonts w:eastAsia="Times New Roman"/>
          <w:color w:val="0F1115"/>
          <w:sz w:val="28"/>
          <w:szCs w:val="28"/>
        </w:rPr>
        <w:t>которы</w:t>
      </w:r>
      <w:r w:rsidR="003307AD" w:rsidRPr="008D1EC8">
        <w:rPr>
          <w:rFonts w:eastAsia="Times New Roman"/>
          <w:color w:val="0F1115"/>
          <w:sz w:val="28"/>
          <w:szCs w:val="28"/>
        </w:rPr>
        <w:t>х</w:t>
      </w:r>
      <w:r w:rsidRPr="008D1EC8">
        <w:rPr>
          <w:rFonts w:eastAsia="Times New Roman"/>
          <w:color w:val="0F1115"/>
          <w:sz w:val="28"/>
          <w:szCs w:val="28"/>
        </w:rPr>
        <w:t xml:space="preserve"> с 1 января 2026 года </w:t>
      </w:r>
      <w:r w:rsidR="003307AD" w:rsidRPr="008D1EC8">
        <w:rPr>
          <w:rFonts w:eastAsia="Times New Roman"/>
          <w:color w:val="0F1115"/>
          <w:sz w:val="28"/>
          <w:szCs w:val="28"/>
        </w:rPr>
        <w:t xml:space="preserve">возникла обязанность уплачивать налог на добавленную стоимость </w:t>
      </w:r>
      <w:r w:rsidRPr="008D1EC8">
        <w:rPr>
          <w:rFonts w:eastAsia="Times New Roman"/>
          <w:color w:val="0F1115"/>
          <w:sz w:val="28"/>
          <w:szCs w:val="28"/>
        </w:rPr>
        <w:t xml:space="preserve">(совокупный доход за 2025 год превысил 20 млн. рублей) </w:t>
      </w:r>
      <w:r w:rsidR="003307AD" w:rsidRPr="008D1EC8">
        <w:rPr>
          <w:rFonts w:eastAsia="Times New Roman"/>
          <w:color w:val="0F1115"/>
          <w:sz w:val="28"/>
          <w:szCs w:val="28"/>
        </w:rPr>
        <w:t>в</w:t>
      </w:r>
      <w:r w:rsidRPr="008D1EC8">
        <w:rPr>
          <w:rFonts w:eastAsia="Times New Roman"/>
          <w:color w:val="0F1115"/>
          <w:sz w:val="28"/>
          <w:szCs w:val="28"/>
        </w:rPr>
        <w:t>праве применять льготу по НДС в соответствии с подп. 38 п. 3 ст. 149 НК РФ</w:t>
      </w:r>
      <w:r w:rsidR="00E75EA4" w:rsidRPr="008D1EC8">
        <w:rPr>
          <w:rFonts w:eastAsia="Times New Roman"/>
          <w:color w:val="0F1115"/>
          <w:sz w:val="28"/>
          <w:szCs w:val="28"/>
        </w:rPr>
        <w:t xml:space="preserve"> при соблюдении следующих условий:</w:t>
      </w:r>
    </w:p>
    <w:p w:rsidR="00E75EA4" w:rsidRPr="008D1EC8" w:rsidRDefault="00E75EA4" w:rsidP="008D1EC8">
      <w:pPr>
        <w:shd w:val="clear" w:color="auto" w:fill="FFFFFF"/>
        <w:spacing w:before="240" w:after="240"/>
        <w:jc w:val="both"/>
        <w:rPr>
          <w:rFonts w:eastAsia="Times New Roman"/>
          <w:color w:val="0F1115"/>
          <w:sz w:val="28"/>
          <w:szCs w:val="28"/>
        </w:rPr>
      </w:pPr>
      <w:r w:rsidRPr="008D1EC8">
        <w:rPr>
          <w:rFonts w:eastAsia="Times New Roman"/>
          <w:color w:val="0F1115"/>
          <w:sz w:val="28"/>
          <w:szCs w:val="28"/>
        </w:rPr>
        <w:t>— доходы за предшествующий год не превысили 3 млрд. руб.;</w:t>
      </w:r>
    </w:p>
    <w:p w:rsidR="00E75EA4" w:rsidRPr="008D1EC8" w:rsidRDefault="00E75EA4" w:rsidP="008D1EC8">
      <w:pPr>
        <w:shd w:val="clear" w:color="auto" w:fill="FFFFFF"/>
        <w:spacing w:before="240" w:after="240"/>
        <w:jc w:val="both"/>
        <w:rPr>
          <w:rFonts w:eastAsia="Times New Roman"/>
          <w:color w:val="0F1115"/>
          <w:sz w:val="28"/>
          <w:szCs w:val="28"/>
        </w:rPr>
      </w:pPr>
      <w:r w:rsidRPr="008D1EC8">
        <w:rPr>
          <w:rFonts w:eastAsia="Times New Roman"/>
          <w:color w:val="0F1115"/>
          <w:sz w:val="28"/>
          <w:szCs w:val="28"/>
        </w:rPr>
        <w:t>— удельный вес доходов от реализации услуг общепита за прошлый год составил не менее 70%;</w:t>
      </w:r>
    </w:p>
    <w:p w:rsidR="00E75EA4" w:rsidRPr="008D1EC8" w:rsidRDefault="00E75EA4" w:rsidP="008D1EC8">
      <w:pPr>
        <w:shd w:val="clear" w:color="auto" w:fill="FFFFFF"/>
        <w:spacing w:before="240" w:after="240"/>
        <w:ind w:firstLine="708"/>
        <w:jc w:val="both"/>
        <w:rPr>
          <w:rFonts w:eastAsia="Times New Roman"/>
          <w:color w:val="0F1115"/>
          <w:sz w:val="28"/>
          <w:szCs w:val="28"/>
        </w:rPr>
      </w:pPr>
      <w:r w:rsidRPr="008D1EC8">
        <w:rPr>
          <w:rFonts w:eastAsia="Times New Roman"/>
          <w:color w:val="0F1115"/>
          <w:sz w:val="28"/>
          <w:szCs w:val="28"/>
        </w:rPr>
        <w:t>При этом у</w:t>
      </w:r>
      <w:r w:rsidR="004E4E9D" w:rsidRPr="008D1EC8">
        <w:rPr>
          <w:rFonts w:eastAsia="Times New Roman"/>
          <w:color w:val="0F1115"/>
          <w:sz w:val="28"/>
          <w:szCs w:val="28"/>
        </w:rPr>
        <w:t xml:space="preserve">словие – соблюдение среднемесячных выплат сотрудникам в предшествующем году не ниже региональной зарплаты по отрасли </w:t>
      </w:r>
      <w:r w:rsidR="003307AD" w:rsidRPr="008D1EC8">
        <w:rPr>
          <w:rFonts w:eastAsia="Times New Roman"/>
          <w:color w:val="0F1115"/>
          <w:sz w:val="28"/>
          <w:szCs w:val="28"/>
        </w:rPr>
        <w:t>не применяется для этой категории налогоплательщиков</w:t>
      </w:r>
      <w:r w:rsidR="004E4E9D" w:rsidRPr="008D1EC8">
        <w:rPr>
          <w:rFonts w:eastAsia="Times New Roman"/>
          <w:color w:val="0F1115"/>
          <w:sz w:val="28"/>
          <w:szCs w:val="28"/>
        </w:rPr>
        <w:t xml:space="preserve">. Соответствующие поправки внесены в Налоговый кодекс Федеральным законом от 25.04.26 № 104-ФЗ. </w:t>
      </w:r>
    </w:p>
    <w:p w:rsidR="003307AD" w:rsidRPr="008D1EC8" w:rsidRDefault="003307AD" w:rsidP="008D1EC8">
      <w:pPr>
        <w:shd w:val="clear" w:color="auto" w:fill="FFFFFF"/>
        <w:spacing w:before="240" w:after="240"/>
        <w:ind w:firstLine="708"/>
        <w:jc w:val="both"/>
        <w:rPr>
          <w:rFonts w:eastAsia="Times New Roman"/>
          <w:color w:val="0F1115"/>
          <w:sz w:val="28"/>
          <w:szCs w:val="28"/>
        </w:rPr>
      </w:pPr>
      <w:r w:rsidRPr="008D1EC8">
        <w:rPr>
          <w:rFonts w:eastAsia="Times New Roman"/>
          <w:color w:val="0F1115"/>
          <w:sz w:val="28"/>
          <w:szCs w:val="28"/>
        </w:rPr>
        <w:t>Поэтому, предприятиям общепита нужно настроить кассы на выдачу чеков без НДС. А пробитые с 1 апреля чеки с учтенным НДС можно исправить через корректирующие фискальные документы.</w:t>
      </w:r>
    </w:p>
    <w:p w:rsidR="003307AD" w:rsidRPr="008D1EC8" w:rsidRDefault="004E4E9D" w:rsidP="008D1EC8">
      <w:pPr>
        <w:shd w:val="clear" w:color="auto" w:fill="FFFFFF"/>
        <w:spacing w:before="240" w:after="240"/>
        <w:ind w:firstLine="708"/>
        <w:jc w:val="both"/>
        <w:rPr>
          <w:rFonts w:eastAsia="Times New Roman"/>
          <w:color w:val="0F1115"/>
          <w:sz w:val="28"/>
          <w:szCs w:val="28"/>
        </w:rPr>
      </w:pPr>
      <w:r w:rsidRPr="008D1EC8">
        <w:rPr>
          <w:rFonts w:eastAsia="Times New Roman"/>
          <w:color w:val="0F1115"/>
          <w:sz w:val="28"/>
          <w:szCs w:val="28"/>
        </w:rPr>
        <w:t>Указанные поправки не касаются налогоплательщиков УСН (ООО и ИП), которые с 1 января 2025 года утратили право на освобождение от НДС</w:t>
      </w:r>
      <w:r w:rsidR="003307AD" w:rsidRPr="008D1EC8">
        <w:rPr>
          <w:rFonts w:eastAsia="Times New Roman"/>
          <w:color w:val="0F1115"/>
          <w:sz w:val="28"/>
          <w:szCs w:val="28"/>
        </w:rPr>
        <w:t>, в связи с превышением совокупного дохода за 2024 год 60 млн. рублей</w:t>
      </w:r>
    </w:p>
    <w:p w:rsidR="004E4E9D" w:rsidRPr="008D1EC8" w:rsidRDefault="004E4E9D" w:rsidP="008D1EC8">
      <w:pPr>
        <w:shd w:val="clear" w:color="auto" w:fill="FFFFFF"/>
        <w:spacing w:before="240" w:after="240"/>
        <w:ind w:firstLine="708"/>
        <w:jc w:val="both"/>
        <w:rPr>
          <w:rFonts w:eastAsia="Times New Roman"/>
          <w:color w:val="0F1115"/>
          <w:sz w:val="28"/>
          <w:szCs w:val="28"/>
        </w:rPr>
      </w:pPr>
      <w:r w:rsidRPr="008D1EC8">
        <w:rPr>
          <w:rFonts w:eastAsia="Times New Roman"/>
          <w:color w:val="0F1115"/>
          <w:sz w:val="28"/>
          <w:szCs w:val="28"/>
        </w:rPr>
        <w:t>Для этих категорий налогоплательщиков при использовании льготы в соответствии с подп. 38 п. 3 ст. 149 НК РФ необходимо соблюдение трех условий (1. доходы за предшествующий год не превысили 3 млрд. руб.  2. удельный вес доходов от реализации услуг общепита за прошлый год составил не менее 70%, 3. среднемесячные выплаты сотрудникам в предшествующем году были не ниже региональной зарплаты по отрасли).</w:t>
      </w:r>
    </w:p>
    <w:p w:rsidR="003307AD" w:rsidRPr="008D1EC8" w:rsidRDefault="003307AD" w:rsidP="008D1EC8">
      <w:pPr>
        <w:shd w:val="clear" w:color="auto" w:fill="FFFFFF"/>
        <w:spacing w:before="240" w:after="240"/>
        <w:ind w:firstLine="567"/>
        <w:jc w:val="both"/>
        <w:rPr>
          <w:rFonts w:eastAsia="Times New Roman"/>
          <w:color w:val="0F1115"/>
          <w:sz w:val="28"/>
          <w:szCs w:val="28"/>
        </w:rPr>
      </w:pPr>
      <w:r w:rsidRPr="008D1EC8">
        <w:rPr>
          <w:rFonts w:eastAsia="Times New Roman"/>
          <w:color w:val="0F1115"/>
          <w:sz w:val="28"/>
          <w:szCs w:val="28"/>
        </w:rPr>
        <w:t xml:space="preserve">Количество налогоплательщиков, применивших льготу по общепиту в 2025 году, в  Республике Алтай - 2 индивидуальных предпринимателя, 2 юридических лица. </w:t>
      </w:r>
    </w:p>
    <w:p w:rsidR="00773BDF" w:rsidRPr="00E75EA4" w:rsidRDefault="00773BDF" w:rsidP="009020B3">
      <w:pPr>
        <w:spacing w:line="276" w:lineRule="auto"/>
        <w:ind w:firstLine="567"/>
        <w:contextualSpacing/>
        <w:jc w:val="both"/>
        <w:rPr>
          <w:rFonts w:eastAsiaTheme="minorHAnsi"/>
          <w:szCs w:val="26"/>
          <w:lang w:eastAsia="en-US"/>
        </w:rPr>
      </w:pPr>
    </w:p>
    <w:p w:rsidR="005D4BE1" w:rsidRPr="005D4BE1" w:rsidRDefault="005D4BE1" w:rsidP="005D4BE1">
      <w:pPr>
        <w:rPr>
          <w:rFonts w:eastAsiaTheme="minorHAnsi"/>
          <w:sz w:val="20"/>
          <w:lang w:eastAsia="en-US"/>
        </w:rPr>
      </w:pPr>
    </w:p>
    <w:p w:rsidR="005D4BE1" w:rsidRDefault="005D4BE1" w:rsidP="005D4BE1">
      <w:pPr>
        <w:rPr>
          <w:rFonts w:eastAsiaTheme="minorHAnsi"/>
          <w:sz w:val="20"/>
          <w:lang w:eastAsia="en-US"/>
        </w:rPr>
      </w:pPr>
    </w:p>
    <w:p w:rsidR="005D4BE1" w:rsidRPr="005D4BE1" w:rsidRDefault="005D4BE1" w:rsidP="005D4BE1">
      <w:pPr>
        <w:rPr>
          <w:sz w:val="28"/>
          <w:szCs w:val="28"/>
        </w:rPr>
      </w:pPr>
    </w:p>
    <w:p w:rsidR="005D4BE1" w:rsidRDefault="005D4BE1" w:rsidP="005D4BE1">
      <w:pPr>
        <w:rPr>
          <w:sz w:val="28"/>
          <w:szCs w:val="28"/>
        </w:rPr>
      </w:pPr>
    </w:p>
    <w:p w:rsidR="002D15F3" w:rsidRPr="00684D1B" w:rsidRDefault="002D15F3" w:rsidP="008D1EC8">
      <w:pPr>
        <w:ind w:firstLine="708"/>
        <w:jc w:val="both"/>
        <w:rPr>
          <w:sz w:val="28"/>
          <w:szCs w:val="28"/>
        </w:rPr>
      </w:pPr>
    </w:p>
    <w:sectPr w:rsidR="002D15F3" w:rsidRPr="00684D1B" w:rsidSect="00327F7D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AB0" w:rsidRDefault="002D6AB0" w:rsidP="003307AD">
      <w:r>
        <w:separator/>
      </w:r>
    </w:p>
  </w:endnote>
  <w:endnote w:type="continuationSeparator" w:id="1">
    <w:p w:rsidR="002D6AB0" w:rsidRDefault="002D6AB0" w:rsidP="003307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AB0" w:rsidRDefault="002D6AB0" w:rsidP="003307AD">
      <w:r>
        <w:separator/>
      </w:r>
    </w:p>
  </w:footnote>
  <w:footnote w:type="continuationSeparator" w:id="1">
    <w:p w:rsidR="002D6AB0" w:rsidRDefault="002D6AB0" w:rsidP="003307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37A5C"/>
    <w:multiLevelType w:val="multilevel"/>
    <w:tmpl w:val="7004B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7CC9"/>
    <w:rsid w:val="00045130"/>
    <w:rsid w:val="000721C1"/>
    <w:rsid w:val="000749A6"/>
    <w:rsid w:val="00092660"/>
    <w:rsid w:val="000F200A"/>
    <w:rsid w:val="001204CB"/>
    <w:rsid w:val="00154416"/>
    <w:rsid w:val="00164070"/>
    <w:rsid w:val="001D1FE8"/>
    <w:rsid w:val="00216F87"/>
    <w:rsid w:val="002221A4"/>
    <w:rsid w:val="002273BE"/>
    <w:rsid w:val="002379B7"/>
    <w:rsid w:val="002C4DA6"/>
    <w:rsid w:val="002D15F3"/>
    <w:rsid w:val="002D6AB0"/>
    <w:rsid w:val="002E6532"/>
    <w:rsid w:val="002F6CF9"/>
    <w:rsid w:val="00313F3C"/>
    <w:rsid w:val="00327F7D"/>
    <w:rsid w:val="003307AD"/>
    <w:rsid w:val="00347A3F"/>
    <w:rsid w:val="0038098B"/>
    <w:rsid w:val="00382972"/>
    <w:rsid w:val="003852D0"/>
    <w:rsid w:val="003C4664"/>
    <w:rsid w:val="003D6C2E"/>
    <w:rsid w:val="003E66F2"/>
    <w:rsid w:val="0040582F"/>
    <w:rsid w:val="00407812"/>
    <w:rsid w:val="00411E14"/>
    <w:rsid w:val="004348FA"/>
    <w:rsid w:val="004911BB"/>
    <w:rsid w:val="0049450F"/>
    <w:rsid w:val="004A3F01"/>
    <w:rsid w:val="004B567F"/>
    <w:rsid w:val="004E4E9D"/>
    <w:rsid w:val="00503E0D"/>
    <w:rsid w:val="00554A1F"/>
    <w:rsid w:val="00577C5A"/>
    <w:rsid w:val="0058707D"/>
    <w:rsid w:val="005D4BE1"/>
    <w:rsid w:val="00622D63"/>
    <w:rsid w:val="00664320"/>
    <w:rsid w:val="00665722"/>
    <w:rsid w:val="00675413"/>
    <w:rsid w:val="006842D6"/>
    <w:rsid w:val="00684D1B"/>
    <w:rsid w:val="006C54C1"/>
    <w:rsid w:val="006F29DB"/>
    <w:rsid w:val="00722941"/>
    <w:rsid w:val="00773BDF"/>
    <w:rsid w:val="00791E2F"/>
    <w:rsid w:val="007A786C"/>
    <w:rsid w:val="007B54C9"/>
    <w:rsid w:val="007C3156"/>
    <w:rsid w:val="007C40AE"/>
    <w:rsid w:val="007F0510"/>
    <w:rsid w:val="008776FD"/>
    <w:rsid w:val="0088190F"/>
    <w:rsid w:val="008A3715"/>
    <w:rsid w:val="008D1EC8"/>
    <w:rsid w:val="008E59BC"/>
    <w:rsid w:val="008F3B66"/>
    <w:rsid w:val="008F3F6D"/>
    <w:rsid w:val="009020B3"/>
    <w:rsid w:val="009045FC"/>
    <w:rsid w:val="009223A0"/>
    <w:rsid w:val="00957E85"/>
    <w:rsid w:val="00981319"/>
    <w:rsid w:val="009873AE"/>
    <w:rsid w:val="00991D82"/>
    <w:rsid w:val="009D72C9"/>
    <w:rsid w:val="00A73D47"/>
    <w:rsid w:val="00AF49B3"/>
    <w:rsid w:val="00B56648"/>
    <w:rsid w:val="00BA0038"/>
    <w:rsid w:val="00BD2399"/>
    <w:rsid w:val="00C12602"/>
    <w:rsid w:val="00C22DC3"/>
    <w:rsid w:val="00C25973"/>
    <w:rsid w:val="00C53B0F"/>
    <w:rsid w:val="00C76844"/>
    <w:rsid w:val="00C97767"/>
    <w:rsid w:val="00CE624F"/>
    <w:rsid w:val="00D20486"/>
    <w:rsid w:val="00D567E2"/>
    <w:rsid w:val="00D76E28"/>
    <w:rsid w:val="00DB7257"/>
    <w:rsid w:val="00DF693C"/>
    <w:rsid w:val="00E66FED"/>
    <w:rsid w:val="00E75EA4"/>
    <w:rsid w:val="00EB7CC9"/>
    <w:rsid w:val="00F073CB"/>
    <w:rsid w:val="00F243E5"/>
    <w:rsid w:val="00FA18D1"/>
    <w:rsid w:val="00FF3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5FC"/>
    <w:pPr>
      <w:spacing w:after="0" w:line="240" w:lineRule="auto"/>
    </w:pPr>
    <w:rPr>
      <w:rFonts w:ascii="Times New Roman" w:eastAsia="Calibri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Цитаты"/>
    <w:basedOn w:val="a"/>
    <w:rsid w:val="00C97767"/>
    <w:pPr>
      <w:spacing w:before="100" w:after="100"/>
      <w:ind w:left="360" w:right="360"/>
    </w:pPr>
    <w:rPr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6754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5413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307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307AD"/>
    <w:rPr>
      <w:rFonts w:ascii="Times New Roman" w:eastAsia="Calibri" w:hAnsi="Times New Roman" w:cs="Times New Roman"/>
      <w:sz w:val="26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307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307AD"/>
    <w:rPr>
      <w:rFonts w:ascii="Times New Roman" w:eastAsia="Calibri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5FC"/>
    <w:pPr>
      <w:spacing w:after="0" w:line="240" w:lineRule="auto"/>
    </w:pPr>
    <w:rPr>
      <w:rFonts w:ascii="Times New Roman" w:eastAsia="Calibri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Цитаты"/>
    <w:basedOn w:val="a"/>
    <w:rsid w:val="00C97767"/>
    <w:pPr>
      <w:spacing w:before="100" w:after="100"/>
      <w:ind w:left="360" w:right="360"/>
    </w:pPr>
    <w:rPr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6754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5413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307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307AD"/>
    <w:rPr>
      <w:rFonts w:ascii="Times New Roman" w:eastAsia="Calibri" w:hAnsi="Times New Roman" w:cs="Times New Roman"/>
      <w:sz w:val="26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307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307AD"/>
    <w:rPr>
      <w:rFonts w:ascii="Times New Roman" w:eastAsia="Calibri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4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Пушкарева Татьяна Юрьевна</dc:creator>
  <cp:lastModifiedBy>Admin</cp:lastModifiedBy>
  <cp:revision>8</cp:revision>
  <cp:lastPrinted>2026-05-28T02:06:00Z</cp:lastPrinted>
  <dcterms:created xsi:type="dcterms:W3CDTF">2026-06-18T06:32:00Z</dcterms:created>
  <dcterms:modified xsi:type="dcterms:W3CDTF">2026-06-19T08:40:00Z</dcterms:modified>
</cp:coreProperties>
</file>